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DF" w:rsidRPr="00D63CF8" w:rsidRDefault="00D63CF8" w:rsidP="00B1442F">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bookmarkStart w:id="0" w:name="_GoBack"/>
      <w:bookmarkEnd w:id="0"/>
      <w:r w:rsidRPr="00D63CF8">
        <w:rPr>
          <w:rFonts w:ascii="Arial" w:hAnsi="Arial" w:cs="Arial"/>
          <w:b/>
          <w:sz w:val="24"/>
          <w:szCs w:val="24"/>
        </w:rPr>
        <w:t>Appendix 'B'</w:t>
      </w: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1B1CDF" w:rsidRDefault="001B1CDF" w:rsidP="00B1442F">
      <w:pPr>
        <w:spacing w:after="0" w:line="240" w:lineRule="auto"/>
        <w:rPr>
          <w:rFonts w:ascii="Arial" w:hAnsi="Arial" w:cs="Arial"/>
          <w:b/>
          <w:sz w:val="24"/>
          <w:szCs w:val="24"/>
        </w:rPr>
      </w:pPr>
    </w:p>
    <w:p w:rsidR="00A8160B" w:rsidRDefault="00A8160B" w:rsidP="00B1442F">
      <w:pPr>
        <w:spacing w:after="0" w:line="240" w:lineRule="auto"/>
        <w:rPr>
          <w:rFonts w:ascii="Arial" w:hAnsi="Arial" w:cs="Arial"/>
          <w:sz w:val="24"/>
          <w:szCs w:val="24"/>
        </w:rPr>
      </w:pPr>
    </w:p>
    <w:p w:rsidR="00197C4B" w:rsidRDefault="00197C4B" w:rsidP="00B1442F">
      <w:pPr>
        <w:spacing w:after="0" w:line="240" w:lineRule="auto"/>
        <w:rPr>
          <w:rFonts w:ascii="Arial" w:hAnsi="Arial" w:cs="Arial"/>
          <w:b/>
          <w:sz w:val="24"/>
          <w:szCs w:val="24"/>
        </w:rPr>
      </w:pPr>
    </w:p>
    <w:p w:rsidR="004E0712" w:rsidRPr="004E0712" w:rsidRDefault="004E0712" w:rsidP="00B1442F">
      <w:pPr>
        <w:spacing w:after="0" w:line="240" w:lineRule="auto"/>
        <w:rPr>
          <w:rFonts w:ascii="Arial" w:hAnsi="Arial" w:cs="Arial"/>
          <w:sz w:val="24"/>
          <w:szCs w:val="24"/>
        </w:rPr>
      </w:pPr>
    </w:p>
    <w:p w:rsidR="004E0712" w:rsidRPr="004E0712" w:rsidRDefault="004E0712" w:rsidP="00B1442F">
      <w:pPr>
        <w:spacing w:after="0" w:line="240" w:lineRule="auto"/>
        <w:rPr>
          <w:rFonts w:ascii="Arial" w:hAnsi="Arial" w:cs="Arial"/>
          <w:sz w:val="24"/>
          <w:szCs w:val="24"/>
        </w:rPr>
      </w:pPr>
    </w:p>
    <w:p w:rsidR="004E0712" w:rsidRPr="004E0712" w:rsidRDefault="004E0712" w:rsidP="00B1442F">
      <w:pPr>
        <w:spacing w:after="0" w:line="240" w:lineRule="auto"/>
        <w:rPr>
          <w:rFonts w:ascii="Arial" w:hAnsi="Arial" w:cs="Arial"/>
          <w:sz w:val="24"/>
          <w:szCs w:val="24"/>
        </w:rPr>
      </w:pPr>
    </w:p>
    <w:p w:rsidR="004E0712" w:rsidRPr="004E0712" w:rsidRDefault="004660FD" w:rsidP="00B1442F">
      <w:pPr>
        <w:spacing w:after="0" w:line="240" w:lineRule="auto"/>
        <w:rPr>
          <w:rFonts w:ascii="Arial" w:hAnsi="Arial" w:cs="Arial"/>
          <w:sz w:val="24"/>
          <w:szCs w:val="24"/>
        </w:rPr>
      </w:pPr>
      <w:r w:rsidRPr="00BD2903">
        <w:rPr>
          <w:rFonts w:ascii="Arial" w:hAnsi="Arial" w:cs="Arial"/>
          <w:noProof/>
          <w:sz w:val="24"/>
          <w:szCs w:val="24"/>
          <w:lang w:eastAsia="en-GB"/>
        </w:rPr>
        <mc:AlternateContent>
          <mc:Choice Requires="wps">
            <w:drawing>
              <wp:anchor distT="45720" distB="45720" distL="114300" distR="114300" simplePos="0" relativeHeight="251680768" behindDoc="0" locked="0" layoutInCell="1" allowOverlap="1">
                <wp:simplePos x="0" y="0"/>
                <wp:positionH relativeFrom="column">
                  <wp:posOffset>5124450</wp:posOffset>
                </wp:positionH>
                <wp:positionV relativeFrom="paragraph">
                  <wp:posOffset>10160</wp:posOffset>
                </wp:positionV>
                <wp:extent cx="1143000" cy="140462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noFill/>
                        <a:ln w="9525">
                          <a:noFill/>
                          <a:miter lim="800000"/>
                          <a:headEnd/>
                          <a:tailEnd/>
                        </a:ln>
                      </wps:spPr>
                      <wps:txbx>
                        <w:txbxContent>
                          <w:p w:rsidR="0092213A" w:rsidRPr="004660FD" w:rsidRDefault="0092213A">
                            <w:pPr>
                              <w:rPr>
                                <w:rFonts w:ascii="Dax-Medium" w:hAnsi="Dax-Medium"/>
                                <w:color w:val="9D9D9C"/>
                                <w:sz w:val="32"/>
                              </w:rPr>
                            </w:pPr>
                            <w:r w:rsidRPr="004660FD">
                              <w:rPr>
                                <w:rFonts w:ascii="Dax-Medium" w:hAnsi="Dax-Medium"/>
                                <w:color w:val="9D9D9C"/>
                                <w:sz w:val="32"/>
                              </w:rPr>
                              <w:t>April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5pt;margin-top:.8pt;width:90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" filled="f" stroked="f">
                <v:textbox style="mso-fit-shape-to-text:t">
                  <w:txbxContent>
                    <w:p w:rsidR="0092213A" w:rsidRPr="004660FD" w:rsidRDefault="0092213A">
                      <w:pPr>
                        <w:rPr>
                          <w:rFonts w:ascii="Dax-Medium" w:hAnsi="Dax-Medium"/>
                          <w:color w:val="9D9D9C"/>
                          <w:sz w:val="32"/>
                        </w:rPr>
                      </w:pPr>
                      <w:r w:rsidRPr="004660FD">
                        <w:rPr>
                          <w:rFonts w:ascii="Dax-Medium" w:hAnsi="Dax-Medium"/>
                          <w:color w:val="9D9D9C"/>
                          <w:sz w:val="32"/>
                        </w:rPr>
                        <w:t>April 2019</w:t>
                      </w:r>
                    </w:p>
                  </w:txbxContent>
                </v:textbox>
                <w10:wrap type="square"/>
              </v:shape>
            </w:pict>
          </mc:Fallback>
        </mc:AlternateContent>
      </w:r>
    </w:p>
    <w:p w:rsidR="004E0712" w:rsidRPr="004E0712" w:rsidRDefault="004E0712" w:rsidP="00B1442F">
      <w:pPr>
        <w:spacing w:after="0" w:line="240" w:lineRule="auto"/>
        <w:rPr>
          <w:rFonts w:ascii="Arial" w:hAnsi="Arial" w:cs="Arial"/>
          <w:sz w:val="24"/>
          <w:szCs w:val="24"/>
        </w:rPr>
      </w:pPr>
    </w:p>
    <w:p w:rsidR="004E0712" w:rsidRPr="004E0712" w:rsidRDefault="004E0712" w:rsidP="00B1442F">
      <w:pPr>
        <w:spacing w:after="0" w:line="240" w:lineRule="auto"/>
        <w:rPr>
          <w:rFonts w:ascii="Arial" w:hAnsi="Arial" w:cs="Arial"/>
          <w:sz w:val="24"/>
          <w:szCs w:val="24"/>
        </w:rPr>
      </w:pPr>
    </w:p>
    <w:p w:rsidR="004E0712" w:rsidRPr="004E0712" w:rsidRDefault="004E0712" w:rsidP="00B1442F">
      <w:pPr>
        <w:spacing w:after="0" w:line="240" w:lineRule="auto"/>
        <w:rPr>
          <w:rFonts w:ascii="Arial" w:hAnsi="Arial" w:cs="Arial"/>
          <w:sz w:val="24"/>
          <w:szCs w:val="24"/>
        </w:rPr>
      </w:pPr>
    </w:p>
    <w:p w:rsidR="004E0712" w:rsidRPr="004E0712" w:rsidRDefault="004E0712" w:rsidP="00B1442F">
      <w:pPr>
        <w:spacing w:after="0" w:line="240" w:lineRule="auto"/>
        <w:rPr>
          <w:rFonts w:ascii="Arial" w:hAnsi="Arial" w:cs="Arial"/>
          <w:sz w:val="24"/>
          <w:szCs w:val="24"/>
        </w:rPr>
      </w:pPr>
    </w:p>
    <w:p w:rsidR="004E0712" w:rsidRPr="004E0712" w:rsidRDefault="004E0712" w:rsidP="00B1442F">
      <w:pPr>
        <w:spacing w:after="0" w:line="240" w:lineRule="auto"/>
        <w:rPr>
          <w:rFonts w:ascii="Arial" w:hAnsi="Arial" w:cs="Arial"/>
          <w:sz w:val="24"/>
          <w:szCs w:val="24"/>
        </w:rPr>
      </w:pPr>
    </w:p>
    <w:p w:rsidR="004E0712" w:rsidRPr="004E0712" w:rsidRDefault="004E0712" w:rsidP="00B1442F">
      <w:pPr>
        <w:spacing w:after="0" w:line="240" w:lineRule="auto"/>
        <w:rPr>
          <w:rFonts w:ascii="Arial" w:hAnsi="Arial" w:cs="Arial"/>
          <w:sz w:val="24"/>
          <w:szCs w:val="24"/>
        </w:rPr>
      </w:pPr>
    </w:p>
    <w:p w:rsidR="004E0712" w:rsidRPr="004E0712" w:rsidRDefault="004E0712" w:rsidP="00B1442F">
      <w:pPr>
        <w:spacing w:after="0" w:line="240" w:lineRule="auto"/>
        <w:rPr>
          <w:rFonts w:ascii="Arial" w:hAnsi="Arial" w:cs="Arial"/>
          <w:sz w:val="24"/>
          <w:szCs w:val="24"/>
        </w:rPr>
      </w:pPr>
    </w:p>
    <w:p w:rsidR="004E0712" w:rsidRDefault="004E0712" w:rsidP="00B1442F">
      <w:pPr>
        <w:spacing w:after="0" w:line="240" w:lineRule="auto"/>
        <w:rPr>
          <w:rFonts w:ascii="Arial" w:hAnsi="Arial" w:cs="Arial"/>
          <w:sz w:val="24"/>
          <w:szCs w:val="24"/>
        </w:rPr>
      </w:pPr>
    </w:p>
    <w:p w:rsidR="008E2ACA" w:rsidRDefault="008E2ACA" w:rsidP="00B1442F">
      <w:pPr>
        <w:spacing w:after="0" w:line="240" w:lineRule="auto"/>
        <w:rPr>
          <w:rFonts w:ascii="Arial" w:hAnsi="Arial" w:cs="Arial"/>
          <w:sz w:val="24"/>
          <w:szCs w:val="24"/>
        </w:rPr>
      </w:pPr>
    </w:p>
    <w:p w:rsidR="008E2ACA" w:rsidRDefault="008E2ACA" w:rsidP="00B1442F">
      <w:pPr>
        <w:spacing w:after="0" w:line="240" w:lineRule="auto"/>
        <w:rPr>
          <w:rFonts w:ascii="Arial" w:hAnsi="Arial" w:cs="Arial"/>
          <w:sz w:val="24"/>
          <w:szCs w:val="24"/>
        </w:rPr>
      </w:pPr>
    </w:p>
    <w:p w:rsidR="008E2ACA" w:rsidRDefault="008E2ACA" w:rsidP="00B1442F">
      <w:pPr>
        <w:spacing w:after="0" w:line="240" w:lineRule="auto"/>
        <w:rPr>
          <w:rFonts w:ascii="Arial" w:hAnsi="Arial" w:cs="Arial"/>
          <w:sz w:val="24"/>
          <w:szCs w:val="24"/>
        </w:rPr>
      </w:pPr>
    </w:p>
    <w:p w:rsidR="008E2ACA" w:rsidRDefault="008E2ACA" w:rsidP="00B1442F">
      <w:pPr>
        <w:spacing w:after="0" w:line="240" w:lineRule="auto"/>
        <w:rPr>
          <w:rFonts w:ascii="Arial" w:hAnsi="Arial" w:cs="Arial"/>
          <w:sz w:val="24"/>
          <w:szCs w:val="24"/>
        </w:rPr>
      </w:pPr>
    </w:p>
    <w:p w:rsidR="008E2ACA" w:rsidRDefault="008E2ACA" w:rsidP="00B1442F">
      <w:pPr>
        <w:spacing w:after="0" w:line="240" w:lineRule="auto"/>
        <w:rPr>
          <w:rFonts w:ascii="Arial" w:hAnsi="Arial" w:cs="Arial"/>
          <w:sz w:val="24"/>
          <w:szCs w:val="24"/>
        </w:rPr>
      </w:pPr>
    </w:p>
    <w:p w:rsidR="008E2ACA" w:rsidRPr="004E0712" w:rsidRDefault="008E2ACA" w:rsidP="00B1442F">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firstRow="1" w:lastRow="0" w:firstColumn="1" w:lastColumn="0" w:noHBand="0" w:noVBand="1"/>
      </w:tblPr>
      <w:tblGrid>
        <w:gridCol w:w="9016"/>
      </w:tblGrid>
      <w:tr w:rsidR="00F215B1" w:rsidTr="00F215B1">
        <w:tc>
          <w:tcPr>
            <w:tcW w:w="9016" w:type="dxa"/>
            <w:shd w:val="clear" w:color="auto" w:fill="00ACE9"/>
          </w:tcPr>
          <w:p w:rsidR="00F215B1" w:rsidRPr="00F215B1" w:rsidRDefault="00F215B1" w:rsidP="00F215B1">
            <w:pPr>
              <w:jc w:val="center"/>
              <w:rPr>
                <w:rFonts w:ascii="Arial" w:hAnsi="Arial" w:cs="Arial"/>
                <w:b/>
                <w:color w:val="FFFFFF" w:themeColor="background1"/>
                <w:sz w:val="24"/>
                <w:szCs w:val="24"/>
              </w:rPr>
            </w:pPr>
            <w:r w:rsidRPr="00F215B1">
              <w:rPr>
                <w:rFonts w:ascii="Arial" w:hAnsi="Arial" w:cs="Arial"/>
                <w:b/>
                <w:color w:val="FFFFFF" w:themeColor="background1"/>
                <w:sz w:val="32"/>
                <w:szCs w:val="24"/>
              </w:rPr>
              <w:lastRenderedPageBreak/>
              <w:t>Contents</w:t>
            </w:r>
          </w:p>
        </w:tc>
      </w:tr>
    </w:tbl>
    <w:p w:rsidR="008E2ACA" w:rsidRPr="00F215B1" w:rsidRDefault="008E2ACA" w:rsidP="00B1442F">
      <w:pPr>
        <w:spacing w:after="0" w:line="240" w:lineRule="auto"/>
        <w:rPr>
          <w:rFonts w:ascii="Arial" w:hAnsi="Arial" w:cs="Arial"/>
          <w:sz w:val="24"/>
          <w:szCs w:val="24"/>
        </w:rPr>
      </w:pPr>
    </w:p>
    <w:p w:rsidR="00197C4B" w:rsidRPr="00F215B1" w:rsidRDefault="00197C4B" w:rsidP="00B1442F">
      <w:pPr>
        <w:spacing w:after="0" w:line="240" w:lineRule="auto"/>
        <w:rPr>
          <w:rFonts w:ascii="Arial" w:hAnsi="Arial" w:cs="Arial"/>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 xml:space="preserve">       </w:t>
      </w:r>
      <w:r w:rsidRPr="002429C3">
        <w:rPr>
          <w:rFonts w:ascii="Arial" w:eastAsia="Calibri" w:hAnsi="Arial" w:cs="Arial"/>
          <w:color w:val="000000"/>
          <w:sz w:val="24"/>
          <w:szCs w:val="24"/>
        </w:rPr>
        <w:t>Page</w:t>
      </w: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Key Facts</w:t>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t>2</w:t>
      </w: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Key Review Findings</w:t>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Pr>
          <w:rFonts w:ascii="Arial" w:eastAsia="Calibri" w:hAnsi="Arial" w:cs="Arial"/>
          <w:color w:val="000000"/>
          <w:sz w:val="24"/>
          <w:szCs w:val="24"/>
        </w:rPr>
        <w:t>3</w:t>
      </w: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Summary of Key County Wide Factors</w:t>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Pr>
          <w:rFonts w:ascii="Arial" w:eastAsia="Calibri" w:hAnsi="Arial" w:cs="Arial"/>
          <w:color w:val="000000"/>
          <w:sz w:val="24"/>
          <w:szCs w:val="24"/>
        </w:rPr>
        <w:t>4</w:t>
      </w: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2017/18 Key Stage 4 Performance</w:t>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Pr>
          <w:rFonts w:ascii="Arial" w:eastAsia="Calibri" w:hAnsi="Arial" w:cs="Arial"/>
          <w:color w:val="000000"/>
          <w:sz w:val="24"/>
          <w:szCs w:val="24"/>
        </w:rPr>
        <w:t>4</w:t>
      </w: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Participation by Lancashire Residents</w:t>
      </w:r>
      <w:r>
        <w:rPr>
          <w:rFonts w:ascii="Arial" w:eastAsia="Calibri" w:hAnsi="Arial" w:cs="Arial"/>
          <w:color w:val="000000"/>
          <w:sz w:val="24"/>
          <w:szCs w:val="24"/>
        </w:rPr>
        <w:tab/>
      </w:r>
      <w:r>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Pr>
          <w:rFonts w:ascii="Arial" w:eastAsia="Calibri" w:hAnsi="Arial" w:cs="Arial"/>
          <w:color w:val="000000"/>
          <w:sz w:val="24"/>
          <w:szCs w:val="24"/>
        </w:rPr>
        <w:t>6</w:t>
      </w: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16-18 Year Olds FE Participation Summary</w:t>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00D0604E">
        <w:rPr>
          <w:rFonts w:ascii="Arial" w:eastAsia="Calibri" w:hAnsi="Arial" w:cs="Arial"/>
          <w:color w:val="000000"/>
          <w:sz w:val="24"/>
          <w:szCs w:val="24"/>
        </w:rPr>
        <w:t>8</w:t>
      </w: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19-24 Year Olds with an Education, Health and Care Plan </w:t>
      </w:r>
      <w:r w:rsidR="00C2437D">
        <w:rPr>
          <w:rFonts w:ascii="Arial" w:eastAsia="Calibri" w:hAnsi="Arial" w:cs="Arial"/>
          <w:color w:val="000000"/>
          <w:sz w:val="24"/>
          <w:szCs w:val="24"/>
        </w:rPr>
        <w:tab/>
      </w:r>
      <w:r w:rsidR="00C2437D">
        <w:rPr>
          <w:rFonts w:ascii="Arial" w:eastAsia="Calibri" w:hAnsi="Arial" w:cs="Arial"/>
          <w:color w:val="000000"/>
          <w:sz w:val="24"/>
          <w:szCs w:val="24"/>
        </w:rPr>
        <w:tab/>
      </w:r>
      <w:r w:rsidR="00C2437D">
        <w:rPr>
          <w:rFonts w:ascii="Arial" w:eastAsia="Calibri" w:hAnsi="Arial" w:cs="Arial"/>
          <w:color w:val="000000"/>
          <w:sz w:val="24"/>
          <w:szCs w:val="24"/>
        </w:rPr>
        <w:tab/>
        <w:t>9</w:t>
      </w: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Participation Summary</w:t>
      </w: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School Sixth Form and Academy Participation Summary</w:t>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00C2437D">
        <w:rPr>
          <w:rFonts w:ascii="Arial" w:eastAsia="Calibri" w:hAnsi="Arial" w:cs="Arial"/>
          <w:color w:val="000000"/>
          <w:sz w:val="24"/>
          <w:szCs w:val="24"/>
        </w:rPr>
        <w:t>10</w:t>
      </w: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16-18 Apprenticeship Starts Summary</w:t>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00C2437D">
        <w:rPr>
          <w:rFonts w:ascii="Arial" w:eastAsia="Calibri" w:hAnsi="Arial" w:cs="Arial"/>
          <w:color w:val="000000"/>
          <w:sz w:val="24"/>
          <w:szCs w:val="24"/>
        </w:rPr>
        <w:t>12</w:t>
      </w: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Level 2 and Level 3 Attainment at Age 19</w:t>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00C2437D">
        <w:rPr>
          <w:rFonts w:ascii="Arial" w:eastAsia="Calibri" w:hAnsi="Arial" w:cs="Arial"/>
          <w:color w:val="000000"/>
          <w:sz w:val="24"/>
          <w:szCs w:val="24"/>
        </w:rPr>
        <w:t>13</w:t>
      </w:r>
    </w:p>
    <w:p w:rsid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p>
    <w:p w:rsidR="002429C3" w:rsidRPr="002429C3" w:rsidRDefault="002429C3" w:rsidP="002429C3">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16-18 Accountability Measures</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Pr="002429C3">
        <w:rPr>
          <w:rFonts w:ascii="Arial" w:eastAsia="Calibri" w:hAnsi="Arial" w:cs="Arial"/>
          <w:color w:val="000000"/>
          <w:sz w:val="24"/>
          <w:szCs w:val="24"/>
        </w:rPr>
        <w:tab/>
      </w:r>
      <w:r w:rsidR="00C2437D">
        <w:rPr>
          <w:rFonts w:ascii="Arial" w:eastAsia="Calibri" w:hAnsi="Arial" w:cs="Arial"/>
          <w:color w:val="000000"/>
          <w:sz w:val="24"/>
          <w:szCs w:val="24"/>
        </w:rPr>
        <w:t>16</w:t>
      </w:r>
    </w:p>
    <w:p w:rsidR="00F215B1" w:rsidRDefault="00F215B1" w:rsidP="00B1442F">
      <w:pPr>
        <w:spacing w:after="0" w:line="240" w:lineRule="auto"/>
        <w:rPr>
          <w:rFonts w:ascii="Arial" w:hAnsi="Arial" w:cs="Arial"/>
          <w:sz w:val="24"/>
          <w:szCs w:val="24"/>
        </w:rPr>
      </w:pPr>
    </w:p>
    <w:p w:rsidR="00F215B1" w:rsidRDefault="00F215B1" w:rsidP="00B1442F">
      <w:pPr>
        <w:spacing w:after="0" w:line="240" w:lineRule="auto"/>
        <w:rPr>
          <w:rFonts w:ascii="Arial" w:hAnsi="Arial" w:cs="Arial"/>
          <w:sz w:val="24"/>
          <w:szCs w:val="24"/>
        </w:rPr>
      </w:pPr>
    </w:p>
    <w:p w:rsidR="00F215B1" w:rsidRDefault="00F215B1" w:rsidP="00B1442F">
      <w:pPr>
        <w:spacing w:after="0" w:line="240" w:lineRule="auto"/>
        <w:rPr>
          <w:rFonts w:ascii="Arial" w:hAnsi="Arial" w:cs="Arial"/>
          <w:sz w:val="24"/>
          <w:szCs w:val="24"/>
        </w:rPr>
      </w:pPr>
    </w:p>
    <w:p w:rsidR="00F215B1" w:rsidRDefault="00F215B1" w:rsidP="00B1442F">
      <w:pPr>
        <w:spacing w:after="0" w:line="240" w:lineRule="auto"/>
        <w:rPr>
          <w:rFonts w:ascii="Arial" w:hAnsi="Arial" w:cs="Arial"/>
          <w:sz w:val="24"/>
          <w:szCs w:val="24"/>
        </w:rPr>
      </w:pPr>
    </w:p>
    <w:p w:rsidR="00F215B1" w:rsidRDefault="00F215B1" w:rsidP="00B1442F">
      <w:pPr>
        <w:spacing w:after="0" w:line="240" w:lineRule="auto"/>
        <w:rPr>
          <w:rFonts w:ascii="Arial" w:hAnsi="Arial" w:cs="Arial"/>
          <w:sz w:val="24"/>
          <w:szCs w:val="24"/>
        </w:rPr>
      </w:pPr>
    </w:p>
    <w:p w:rsidR="00F215B1" w:rsidRDefault="00F215B1" w:rsidP="00B1442F">
      <w:pPr>
        <w:spacing w:after="0" w:line="240" w:lineRule="auto"/>
        <w:rPr>
          <w:rFonts w:ascii="Arial" w:hAnsi="Arial" w:cs="Arial"/>
          <w:sz w:val="24"/>
          <w:szCs w:val="24"/>
        </w:rPr>
      </w:pPr>
    </w:p>
    <w:p w:rsidR="00F215B1" w:rsidRDefault="00F215B1" w:rsidP="00B1442F">
      <w:pPr>
        <w:spacing w:after="0" w:line="240" w:lineRule="auto"/>
        <w:rPr>
          <w:rFonts w:ascii="Arial" w:hAnsi="Arial" w:cs="Arial"/>
          <w:sz w:val="24"/>
          <w:szCs w:val="24"/>
        </w:rPr>
      </w:pPr>
    </w:p>
    <w:p w:rsidR="00F215B1" w:rsidRPr="00EA56BC" w:rsidRDefault="00F215B1" w:rsidP="00B1442F">
      <w:pPr>
        <w:spacing w:after="0" w:line="240" w:lineRule="auto"/>
        <w:rPr>
          <w:rFonts w:ascii="Arial" w:hAnsi="Arial" w:cs="Arial"/>
          <w:sz w:val="24"/>
          <w:szCs w:val="24"/>
        </w:rPr>
      </w:pPr>
    </w:p>
    <w:p w:rsidR="001C52BA" w:rsidRPr="00EA56BC" w:rsidRDefault="001C52BA" w:rsidP="00B1442F">
      <w:pPr>
        <w:spacing w:after="0" w:line="240" w:lineRule="auto"/>
        <w:rPr>
          <w:rFonts w:ascii="Arial" w:hAnsi="Arial" w:cs="Arial"/>
          <w:sz w:val="24"/>
          <w:szCs w:val="24"/>
        </w:rPr>
      </w:pPr>
    </w:p>
    <w:p w:rsidR="00197C4B" w:rsidRPr="00EA56BC" w:rsidRDefault="00197C4B">
      <w:pPr>
        <w:rPr>
          <w:rFonts w:ascii="Arial" w:hAnsi="Arial" w:cs="Arial"/>
          <w:sz w:val="24"/>
          <w:szCs w:val="24"/>
        </w:rPr>
        <w:sectPr w:rsidR="00197C4B" w:rsidRPr="00EA56BC" w:rsidSect="001B1CDF">
          <w:headerReference w:type="default" r:id="rId8"/>
          <w:headerReference w:type="first" r:id="rId9"/>
          <w:pgSz w:w="11906" w:h="16838"/>
          <w:pgMar w:top="1440" w:right="1440" w:bottom="1440" w:left="1440" w:header="708" w:footer="708" w:gutter="0"/>
          <w:cols w:space="708"/>
          <w:titlePg/>
          <w:docGrid w:linePitch="360"/>
        </w:sectPr>
      </w:pPr>
    </w:p>
    <w:p w:rsidR="007B7CDF" w:rsidRDefault="007B7CDF" w:rsidP="007B7CDF">
      <w:pPr>
        <w:spacing w:after="0" w:line="240" w:lineRule="auto"/>
        <w:jc w:val="center"/>
        <w:rPr>
          <w:rFonts w:ascii="Arial" w:hAnsi="Arial" w:cs="Arial"/>
          <w:b/>
          <w:sz w:val="28"/>
          <w:szCs w:val="28"/>
        </w:rPr>
      </w:pPr>
      <w:r w:rsidRPr="00883DBE">
        <w:rPr>
          <w:rFonts w:ascii="Arial" w:hAnsi="Arial" w:cs="Arial"/>
          <w:b/>
          <w:sz w:val="28"/>
          <w:szCs w:val="28"/>
        </w:rPr>
        <w:lastRenderedPageBreak/>
        <w:t>Lancashire County Summary</w:t>
      </w:r>
    </w:p>
    <w:p w:rsidR="007B7CDF" w:rsidRDefault="007B7CDF" w:rsidP="007B7CDF">
      <w:pPr>
        <w:spacing w:after="0" w:line="240" w:lineRule="auto"/>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firstRow="1" w:lastRow="0" w:firstColumn="1" w:lastColumn="0" w:noHBand="0" w:noVBand="1"/>
      </w:tblPr>
      <w:tblGrid>
        <w:gridCol w:w="9016"/>
      </w:tblGrid>
      <w:tr w:rsidR="008E2ACA" w:rsidTr="008E2ACA">
        <w:tc>
          <w:tcPr>
            <w:tcW w:w="9016" w:type="dxa"/>
            <w:shd w:val="clear" w:color="auto" w:fill="00ACE9"/>
          </w:tcPr>
          <w:p w:rsidR="008E2ACA" w:rsidRPr="008E2ACA" w:rsidRDefault="008E2ACA" w:rsidP="008E2ACA">
            <w:pPr>
              <w:jc w:val="center"/>
              <w:rPr>
                <w:rFonts w:ascii="Arial" w:hAnsi="Arial" w:cs="Arial"/>
                <w:sz w:val="24"/>
                <w:szCs w:val="24"/>
              </w:rPr>
            </w:pPr>
            <w:r w:rsidRPr="008E2ACA">
              <w:rPr>
                <w:rFonts w:ascii="Arial" w:hAnsi="Arial" w:cs="Arial"/>
                <w:b/>
                <w:color w:val="FFFFFF" w:themeColor="background1"/>
                <w:sz w:val="28"/>
                <w:szCs w:val="28"/>
              </w:rPr>
              <w:t>Key Facts</w:t>
            </w:r>
          </w:p>
        </w:tc>
      </w:tr>
    </w:tbl>
    <w:p w:rsidR="007B7CDF" w:rsidRDefault="007B7CDF" w:rsidP="007B7CDF">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7B7CDF" w:rsidTr="005809E3">
        <w:trPr>
          <w:trHeight w:val="1083"/>
        </w:trPr>
        <w:tc>
          <w:tcPr>
            <w:tcW w:w="1276" w:type="dxa"/>
            <w:vAlign w:val="center"/>
          </w:tcPr>
          <w:p w:rsidR="007B7CDF" w:rsidRDefault="007B7CDF" w:rsidP="005A49A9">
            <w:pPr>
              <w:rPr>
                <w:rFonts w:ascii="Arial" w:hAnsi="Arial" w:cs="Arial"/>
                <w:sz w:val="24"/>
                <w:szCs w:val="24"/>
              </w:rPr>
            </w:pPr>
            <w:r>
              <w:rPr>
                <w:noProof/>
                <w:lang w:eastAsia="en-GB"/>
              </w:rPr>
              <w:drawing>
                <wp:inline distT="0" distB="0" distL="0" distR="0" wp14:anchorId="4E656C89" wp14:editId="2401AF25">
                  <wp:extent cx="648000" cy="648000"/>
                  <wp:effectExtent l="0" t="0" r="0" b="0"/>
                  <wp:docPr id="4" name="Picture 4" descr="grou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740" w:type="dxa"/>
            <w:shd w:val="clear" w:color="auto" w:fill="E0E0E0"/>
            <w:vAlign w:val="center"/>
          </w:tcPr>
          <w:p w:rsidR="007B7CDF" w:rsidRPr="00E5532D" w:rsidRDefault="007B7CDF" w:rsidP="005A49A9">
            <w:pPr>
              <w:rPr>
                <w:rFonts w:ascii="Arial" w:hAnsi="Arial" w:cs="Arial"/>
                <w:color w:val="FFFFFF" w:themeColor="background1"/>
                <w:sz w:val="24"/>
                <w:szCs w:val="24"/>
              </w:rPr>
            </w:pPr>
            <w:r w:rsidRPr="00E9646E">
              <w:rPr>
                <w:rFonts w:ascii="Arial" w:hAnsi="Arial" w:cs="Arial"/>
                <w:sz w:val="24"/>
                <w:szCs w:val="24"/>
              </w:rPr>
              <w:t>Increase of 18.04% in Lancashire 16-18 year old cohort over the period 2019 up to and including 2029, compared to 22.76% nationally.  Increase of 6.85% between 2019 to 2022, equating to 7,103 young people</w:t>
            </w:r>
          </w:p>
        </w:tc>
      </w:tr>
      <w:tr w:rsidR="007B7CDF" w:rsidTr="000E61C0">
        <w:tc>
          <w:tcPr>
            <w:tcW w:w="1276" w:type="dxa"/>
            <w:vAlign w:val="center"/>
          </w:tcPr>
          <w:p w:rsidR="007B7CDF" w:rsidRDefault="007B7CDF" w:rsidP="005A49A9">
            <w:pPr>
              <w:rPr>
                <w:noProof/>
                <w:lang w:eastAsia="en-GB"/>
              </w:rPr>
            </w:pPr>
          </w:p>
        </w:tc>
        <w:tc>
          <w:tcPr>
            <w:tcW w:w="7740" w:type="dxa"/>
            <w:vAlign w:val="center"/>
          </w:tcPr>
          <w:p w:rsidR="007B7CDF" w:rsidRPr="001A1BBF" w:rsidRDefault="007B7CDF" w:rsidP="005A49A9">
            <w:pPr>
              <w:rPr>
                <w:rFonts w:ascii="Arial" w:hAnsi="Arial" w:cs="Arial"/>
                <w:color w:val="767171" w:themeColor="background2" w:themeShade="80"/>
                <w:sz w:val="24"/>
                <w:szCs w:val="24"/>
              </w:rPr>
            </w:pPr>
          </w:p>
        </w:tc>
      </w:tr>
      <w:tr w:rsidR="007B7CDF" w:rsidTr="000E61C0">
        <w:trPr>
          <w:trHeight w:val="1083"/>
        </w:trPr>
        <w:tc>
          <w:tcPr>
            <w:tcW w:w="1276" w:type="dxa"/>
            <w:vAlign w:val="center"/>
          </w:tcPr>
          <w:p w:rsidR="007B7CDF" w:rsidRDefault="007B7CDF" w:rsidP="005A49A9">
            <w:pPr>
              <w:rPr>
                <w:noProof/>
                <w:lang w:eastAsia="en-GB"/>
              </w:rPr>
            </w:pPr>
            <w:r>
              <w:rPr>
                <w:noProof/>
                <w:lang w:eastAsia="en-GB"/>
              </w:rPr>
              <w:drawing>
                <wp:inline distT="0" distB="0" distL="0" distR="0" wp14:anchorId="6FA8DD14" wp14:editId="3C3642C6">
                  <wp:extent cx="648000" cy="648000"/>
                  <wp:effectExtent l="0" t="0" r="0" b="0"/>
                  <wp:docPr id="225" name="Picture 225" descr="ic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740" w:type="dxa"/>
            <w:shd w:val="clear" w:color="auto" w:fill="575756"/>
            <w:vAlign w:val="center"/>
          </w:tcPr>
          <w:p w:rsidR="007B7CDF" w:rsidRPr="00E5532D" w:rsidRDefault="007B7CDF" w:rsidP="005A49A9">
            <w:pPr>
              <w:rPr>
                <w:rFonts w:ascii="Arial" w:hAnsi="Arial" w:cs="Arial"/>
                <w:color w:val="FFFFFF" w:themeColor="background1"/>
                <w:sz w:val="24"/>
                <w:szCs w:val="24"/>
              </w:rPr>
            </w:pPr>
            <w:r w:rsidRPr="00E5532D">
              <w:rPr>
                <w:rFonts w:ascii="Arial" w:hAnsi="Arial" w:cs="Arial"/>
                <w:color w:val="FFFFFF" w:themeColor="background1"/>
                <w:sz w:val="24"/>
                <w:szCs w:val="24"/>
              </w:rPr>
              <w:t>Deprivation is a significant problem in parts of the county.  Five of the 12 districts in Lancashire fall within the top 100 most deprived areas, according to the IMD 2015</w:t>
            </w:r>
          </w:p>
        </w:tc>
      </w:tr>
      <w:tr w:rsidR="007D7D3A" w:rsidRPr="007D7D3A" w:rsidTr="000E61C0">
        <w:tc>
          <w:tcPr>
            <w:tcW w:w="1276" w:type="dxa"/>
            <w:vAlign w:val="center"/>
          </w:tcPr>
          <w:p w:rsidR="007B7CDF" w:rsidRPr="007D7D3A" w:rsidRDefault="007B7CDF" w:rsidP="005A49A9">
            <w:pPr>
              <w:rPr>
                <w:b/>
                <w:noProof/>
                <w:lang w:eastAsia="en-GB"/>
              </w:rPr>
            </w:pPr>
          </w:p>
        </w:tc>
        <w:tc>
          <w:tcPr>
            <w:tcW w:w="7740" w:type="dxa"/>
            <w:vAlign w:val="center"/>
          </w:tcPr>
          <w:p w:rsidR="007B7CDF" w:rsidRPr="007D7D3A" w:rsidRDefault="007B7CDF" w:rsidP="005A49A9">
            <w:pPr>
              <w:rPr>
                <w:rFonts w:ascii="Arial" w:hAnsi="Arial" w:cs="Arial"/>
                <w:sz w:val="24"/>
                <w:szCs w:val="24"/>
              </w:rPr>
            </w:pPr>
          </w:p>
        </w:tc>
      </w:tr>
      <w:tr w:rsidR="007B7CDF" w:rsidTr="005809E3">
        <w:tc>
          <w:tcPr>
            <w:tcW w:w="1276" w:type="dxa"/>
            <w:vAlign w:val="center"/>
          </w:tcPr>
          <w:p w:rsidR="007B7CDF" w:rsidRDefault="007B7CDF" w:rsidP="005A49A9">
            <w:pPr>
              <w:rPr>
                <w:rFonts w:ascii="Arial" w:hAnsi="Arial" w:cs="Arial"/>
                <w:sz w:val="24"/>
                <w:szCs w:val="24"/>
              </w:rPr>
            </w:pPr>
            <w:r>
              <w:rPr>
                <w:noProof/>
                <w:lang w:eastAsia="en-GB"/>
              </w:rPr>
              <w:drawing>
                <wp:inline distT="0" distB="0" distL="0" distR="0" wp14:anchorId="08AC7F2C" wp14:editId="5C977B45">
                  <wp:extent cx="648000" cy="648000"/>
                  <wp:effectExtent l="0" t="0" r="0" b="0"/>
                  <wp:docPr id="243" name="Picture 243" descr="presentati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sentation-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740" w:type="dxa"/>
            <w:shd w:val="clear" w:color="auto" w:fill="E0E0E0"/>
            <w:vAlign w:val="center"/>
          </w:tcPr>
          <w:p w:rsidR="007B7CDF" w:rsidRPr="00E5532D" w:rsidRDefault="007B7CDF" w:rsidP="00DB6686">
            <w:pPr>
              <w:rPr>
                <w:rFonts w:ascii="Arial" w:hAnsi="Arial" w:cs="Arial"/>
                <w:color w:val="FFFFFF" w:themeColor="background1"/>
                <w:sz w:val="24"/>
                <w:szCs w:val="24"/>
              </w:rPr>
            </w:pPr>
            <w:proofErr w:type="spellStart"/>
            <w:r w:rsidRPr="00E9646E">
              <w:rPr>
                <w:rFonts w:ascii="Arial" w:hAnsi="Arial" w:cs="Arial"/>
                <w:sz w:val="24"/>
                <w:szCs w:val="24"/>
              </w:rPr>
              <w:t>DfE</w:t>
            </w:r>
            <w:proofErr w:type="spellEnd"/>
            <w:r w:rsidRPr="00E9646E">
              <w:rPr>
                <w:rFonts w:ascii="Arial" w:hAnsi="Arial" w:cs="Arial"/>
                <w:sz w:val="24"/>
                <w:szCs w:val="24"/>
              </w:rPr>
              <w:t xml:space="preserve"> statistics from March 2018 show participation by 16 and 17 year old Lancashire residents of 89.2%, compared to 92.0% nationally.</w:t>
            </w:r>
            <w:r w:rsidR="00DB6686">
              <w:rPr>
                <w:rFonts w:ascii="Arial" w:hAnsi="Arial" w:cs="Arial"/>
                <w:sz w:val="24"/>
                <w:szCs w:val="24"/>
              </w:rPr>
              <w:t xml:space="preserve">  This equates to 22,987 young people out of a cohort of 25,770</w:t>
            </w:r>
          </w:p>
        </w:tc>
      </w:tr>
      <w:tr w:rsidR="007B7CDF" w:rsidTr="000E61C0">
        <w:tc>
          <w:tcPr>
            <w:tcW w:w="1276" w:type="dxa"/>
            <w:vAlign w:val="center"/>
          </w:tcPr>
          <w:p w:rsidR="007B7CDF" w:rsidRDefault="007B7CDF" w:rsidP="005A49A9">
            <w:pPr>
              <w:rPr>
                <w:noProof/>
                <w:lang w:eastAsia="en-GB"/>
              </w:rPr>
            </w:pPr>
          </w:p>
        </w:tc>
        <w:tc>
          <w:tcPr>
            <w:tcW w:w="7740" w:type="dxa"/>
            <w:vAlign w:val="center"/>
          </w:tcPr>
          <w:p w:rsidR="007B7CDF" w:rsidRPr="001A1BBF" w:rsidRDefault="007B7CDF" w:rsidP="005A49A9">
            <w:pPr>
              <w:rPr>
                <w:rFonts w:ascii="Arial" w:hAnsi="Arial" w:cs="Arial"/>
                <w:color w:val="767171" w:themeColor="background2" w:themeShade="80"/>
                <w:sz w:val="24"/>
                <w:szCs w:val="24"/>
              </w:rPr>
            </w:pPr>
          </w:p>
        </w:tc>
      </w:tr>
      <w:tr w:rsidR="007B7CDF" w:rsidTr="000E61C0">
        <w:tc>
          <w:tcPr>
            <w:tcW w:w="1276" w:type="dxa"/>
            <w:vAlign w:val="center"/>
          </w:tcPr>
          <w:p w:rsidR="007B7CDF" w:rsidRDefault="007B7CDF" w:rsidP="005A49A9">
            <w:pPr>
              <w:rPr>
                <w:rFonts w:ascii="Arial" w:hAnsi="Arial" w:cs="Arial"/>
                <w:sz w:val="24"/>
                <w:szCs w:val="24"/>
              </w:rPr>
            </w:pPr>
            <w:r>
              <w:rPr>
                <w:noProof/>
                <w:lang w:eastAsia="en-GB"/>
              </w:rPr>
              <w:drawing>
                <wp:inline distT="0" distB="0" distL="0" distR="0" wp14:anchorId="3A61006D" wp14:editId="365A20D4">
                  <wp:extent cx="648000" cy="648000"/>
                  <wp:effectExtent l="0" t="0" r="0" b="0"/>
                  <wp:docPr id="244" name="Picture 244" descr="busines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iness-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740" w:type="dxa"/>
            <w:shd w:val="clear" w:color="auto" w:fill="575756"/>
            <w:vAlign w:val="center"/>
          </w:tcPr>
          <w:p w:rsidR="007B7CDF" w:rsidRPr="00BF1977" w:rsidRDefault="007B7CDF" w:rsidP="00BF1977">
            <w:pPr>
              <w:rPr>
                <w:rFonts w:ascii="Arial" w:hAnsi="Arial" w:cs="Arial"/>
                <w:color w:val="FFFFFF" w:themeColor="background1"/>
                <w:sz w:val="24"/>
                <w:szCs w:val="24"/>
              </w:rPr>
            </w:pPr>
            <w:r w:rsidRPr="00BF1977">
              <w:rPr>
                <w:rFonts w:ascii="Arial" w:hAnsi="Arial" w:cs="Arial"/>
                <w:color w:val="FFFFFF" w:themeColor="background1"/>
                <w:sz w:val="24"/>
                <w:szCs w:val="24"/>
              </w:rPr>
              <w:t>Av</w:t>
            </w:r>
            <w:r w:rsidR="00BF1977" w:rsidRPr="00BF1977">
              <w:rPr>
                <w:rFonts w:ascii="Arial" w:hAnsi="Arial" w:cs="Arial"/>
                <w:color w:val="FFFFFF" w:themeColor="background1"/>
                <w:sz w:val="24"/>
                <w:szCs w:val="24"/>
              </w:rPr>
              <w:t>erage figures  for December 2018 to February 2019</w:t>
            </w:r>
            <w:r w:rsidRPr="00BF1977">
              <w:rPr>
                <w:rFonts w:ascii="Arial" w:hAnsi="Arial" w:cs="Arial"/>
                <w:color w:val="FFFFFF" w:themeColor="background1"/>
                <w:sz w:val="24"/>
                <w:szCs w:val="24"/>
              </w:rPr>
              <w:t xml:space="preserve"> show combined NEET and not known percentage of </w:t>
            </w:r>
            <w:r w:rsidR="00BF1977" w:rsidRPr="00BF1977">
              <w:rPr>
                <w:rFonts w:ascii="Arial" w:hAnsi="Arial" w:cs="Arial"/>
                <w:color w:val="FFFFFF" w:themeColor="background1"/>
                <w:sz w:val="24"/>
                <w:szCs w:val="24"/>
              </w:rPr>
              <w:t>10.1</w:t>
            </w:r>
            <w:r w:rsidRPr="00BF1977">
              <w:rPr>
                <w:rFonts w:ascii="Arial" w:hAnsi="Arial" w:cs="Arial"/>
                <w:color w:val="FFFFFF" w:themeColor="background1"/>
                <w:sz w:val="24"/>
                <w:szCs w:val="24"/>
              </w:rPr>
              <w:t>%, which equates to 2,</w:t>
            </w:r>
            <w:r w:rsidR="00BF1977" w:rsidRPr="00BF1977">
              <w:rPr>
                <w:rFonts w:ascii="Arial" w:hAnsi="Arial" w:cs="Arial"/>
                <w:color w:val="FFFFFF" w:themeColor="background1"/>
                <w:sz w:val="24"/>
                <w:szCs w:val="24"/>
              </w:rPr>
              <w:t>535</w:t>
            </w:r>
            <w:r w:rsidRPr="00BF1977">
              <w:rPr>
                <w:rFonts w:ascii="Arial" w:hAnsi="Arial" w:cs="Arial"/>
                <w:color w:val="FFFFFF" w:themeColor="background1"/>
                <w:sz w:val="24"/>
                <w:szCs w:val="24"/>
              </w:rPr>
              <w:t xml:space="preserve"> young people aged 16 and 17</w:t>
            </w:r>
          </w:p>
        </w:tc>
      </w:tr>
      <w:tr w:rsidR="007B7CDF" w:rsidTr="000E61C0">
        <w:tc>
          <w:tcPr>
            <w:tcW w:w="1276" w:type="dxa"/>
            <w:vAlign w:val="center"/>
          </w:tcPr>
          <w:p w:rsidR="007B7CDF" w:rsidRDefault="007B7CDF" w:rsidP="005A49A9">
            <w:pPr>
              <w:rPr>
                <w:noProof/>
                <w:lang w:eastAsia="en-GB"/>
              </w:rPr>
            </w:pPr>
          </w:p>
        </w:tc>
        <w:tc>
          <w:tcPr>
            <w:tcW w:w="7740" w:type="dxa"/>
            <w:vAlign w:val="center"/>
          </w:tcPr>
          <w:p w:rsidR="007B7CDF" w:rsidRPr="001A1BBF" w:rsidRDefault="007B7CDF" w:rsidP="005A49A9">
            <w:pPr>
              <w:rPr>
                <w:rFonts w:ascii="Arial" w:hAnsi="Arial" w:cs="Arial"/>
                <w:color w:val="767171" w:themeColor="background2" w:themeShade="80"/>
                <w:sz w:val="24"/>
                <w:szCs w:val="24"/>
              </w:rPr>
            </w:pPr>
          </w:p>
        </w:tc>
      </w:tr>
      <w:tr w:rsidR="007B7CDF" w:rsidTr="005809E3">
        <w:tc>
          <w:tcPr>
            <w:tcW w:w="1276" w:type="dxa"/>
            <w:vAlign w:val="center"/>
          </w:tcPr>
          <w:p w:rsidR="007B7CDF" w:rsidRDefault="007B7CDF" w:rsidP="005A49A9">
            <w:pPr>
              <w:rPr>
                <w:rFonts w:ascii="Arial" w:hAnsi="Arial" w:cs="Arial"/>
                <w:sz w:val="24"/>
                <w:szCs w:val="24"/>
              </w:rPr>
            </w:pPr>
            <w:r>
              <w:rPr>
                <w:noProof/>
                <w:lang w:eastAsia="en-GB"/>
              </w:rPr>
              <w:drawing>
                <wp:inline distT="0" distB="0" distL="0" distR="0" wp14:anchorId="3AAA2694" wp14:editId="2C96D322">
                  <wp:extent cx="648000" cy="648000"/>
                  <wp:effectExtent l="0" t="0" r="0" b="0"/>
                  <wp:docPr id="245" name="Picture 245" descr="diplom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loma-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740" w:type="dxa"/>
            <w:shd w:val="clear" w:color="auto" w:fill="E0E0E0"/>
            <w:vAlign w:val="center"/>
          </w:tcPr>
          <w:p w:rsidR="007B7CDF" w:rsidRPr="00E9646E" w:rsidRDefault="007B7CDF" w:rsidP="00467DDF">
            <w:pPr>
              <w:rPr>
                <w:rFonts w:ascii="Arial" w:hAnsi="Arial" w:cs="Arial"/>
                <w:sz w:val="24"/>
                <w:szCs w:val="24"/>
              </w:rPr>
            </w:pPr>
            <w:r w:rsidRPr="00E9646E">
              <w:rPr>
                <w:rFonts w:ascii="Arial" w:hAnsi="Arial" w:cs="Arial"/>
                <w:sz w:val="24"/>
                <w:szCs w:val="24"/>
              </w:rPr>
              <w:t>Average Attainment 8 score for Lancashire is 4</w:t>
            </w:r>
            <w:r w:rsidR="00467DDF">
              <w:rPr>
                <w:rFonts w:ascii="Arial" w:hAnsi="Arial" w:cs="Arial"/>
                <w:sz w:val="24"/>
                <w:szCs w:val="24"/>
              </w:rPr>
              <w:t>6</w:t>
            </w:r>
            <w:r w:rsidRPr="00E9646E">
              <w:rPr>
                <w:rFonts w:ascii="Arial" w:hAnsi="Arial" w:cs="Arial"/>
                <w:sz w:val="24"/>
                <w:szCs w:val="24"/>
              </w:rPr>
              <w:t>.7 and average Progress 8 score is -0.</w:t>
            </w:r>
            <w:r w:rsidR="00467DDF">
              <w:rPr>
                <w:rFonts w:ascii="Arial" w:hAnsi="Arial" w:cs="Arial"/>
                <w:sz w:val="24"/>
                <w:szCs w:val="24"/>
              </w:rPr>
              <w:t>09.  National comparators are 44.5</w:t>
            </w:r>
            <w:r w:rsidRPr="00E9646E">
              <w:rPr>
                <w:rFonts w:ascii="Arial" w:hAnsi="Arial" w:cs="Arial"/>
                <w:sz w:val="24"/>
                <w:szCs w:val="24"/>
              </w:rPr>
              <w:t xml:space="preserve"> and 0.00</w:t>
            </w:r>
          </w:p>
        </w:tc>
      </w:tr>
      <w:tr w:rsidR="007B7CDF" w:rsidTr="000E61C0">
        <w:tc>
          <w:tcPr>
            <w:tcW w:w="1276" w:type="dxa"/>
            <w:vAlign w:val="center"/>
          </w:tcPr>
          <w:p w:rsidR="007B7CDF" w:rsidRDefault="007B7CDF" w:rsidP="005A49A9">
            <w:pPr>
              <w:rPr>
                <w:noProof/>
                <w:lang w:eastAsia="en-GB"/>
              </w:rPr>
            </w:pPr>
          </w:p>
        </w:tc>
        <w:tc>
          <w:tcPr>
            <w:tcW w:w="7740" w:type="dxa"/>
            <w:vAlign w:val="center"/>
          </w:tcPr>
          <w:p w:rsidR="007B7CDF" w:rsidRPr="00E5532D" w:rsidRDefault="007B7CDF" w:rsidP="005A49A9">
            <w:pPr>
              <w:rPr>
                <w:rFonts w:ascii="Arial" w:hAnsi="Arial" w:cs="Arial"/>
                <w:color w:val="FFFFFF" w:themeColor="background1"/>
                <w:sz w:val="24"/>
                <w:szCs w:val="24"/>
              </w:rPr>
            </w:pPr>
          </w:p>
        </w:tc>
      </w:tr>
      <w:tr w:rsidR="007B7CDF" w:rsidTr="000E61C0">
        <w:tc>
          <w:tcPr>
            <w:tcW w:w="1276" w:type="dxa"/>
            <w:vAlign w:val="center"/>
          </w:tcPr>
          <w:p w:rsidR="007B7CDF" w:rsidRDefault="007B7CDF" w:rsidP="005A49A9">
            <w:pPr>
              <w:rPr>
                <w:rFonts w:ascii="Arial" w:hAnsi="Arial" w:cs="Arial"/>
                <w:sz w:val="24"/>
                <w:szCs w:val="24"/>
              </w:rPr>
            </w:pPr>
            <w:r>
              <w:rPr>
                <w:noProof/>
                <w:lang w:eastAsia="en-GB"/>
              </w:rPr>
              <w:drawing>
                <wp:inline distT="0" distB="0" distL="0" distR="0" wp14:anchorId="312E9140" wp14:editId="62870C2E">
                  <wp:extent cx="648000" cy="648000"/>
                  <wp:effectExtent l="0" t="0" r="0" b="0"/>
                  <wp:docPr id="246" name="Picture 246" descr="sort-up-or-sort-down-couple-of-arrow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rt-up-or-sort-down-couple-of-arrows-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740" w:type="dxa"/>
            <w:shd w:val="clear" w:color="auto" w:fill="575756"/>
            <w:vAlign w:val="center"/>
          </w:tcPr>
          <w:p w:rsidR="007B7CDF" w:rsidRPr="00BC3BD6" w:rsidRDefault="007B7CDF" w:rsidP="00136C49">
            <w:pPr>
              <w:rPr>
                <w:rFonts w:ascii="Arial" w:hAnsi="Arial" w:cs="Arial"/>
                <w:color w:val="FFFFFF" w:themeColor="background1"/>
                <w:sz w:val="24"/>
                <w:szCs w:val="24"/>
              </w:rPr>
            </w:pPr>
            <w:r w:rsidRPr="00BC3BD6">
              <w:rPr>
                <w:rFonts w:ascii="Arial" w:hAnsi="Arial" w:cs="Arial"/>
                <w:color w:val="FFFFFF" w:themeColor="background1"/>
                <w:sz w:val="24"/>
                <w:szCs w:val="24"/>
              </w:rPr>
              <w:t>From 201</w:t>
            </w:r>
            <w:r w:rsidR="00467DDF" w:rsidRPr="00BC3BD6">
              <w:rPr>
                <w:rFonts w:ascii="Arial" w:hAnsi="Arial" w:cs="Arial"/>
                <w:color w:val="FFFFFF" w:themeColor="background1"/>
                <w:sz w:val="24"/>
                <w:szCs w:val="24"/>
              </w:rPr>
              <w:t>6/07</w:t>
            </w:r>
            <w:r w:rsidRPr="00BC3BD6">
              <w:rPr>
                <w:rFonts w:ascii="Arial" w:hAnsi="Arial" w:cs="Arial"/>
                <w:color w:val="FFFFFF" w:themeColor="background1"/>
                <w:sz w:val="24"/>
                <w:szCs w:val="24"/>
              </w:rPr>
              <w:t xml:space="preserve"> to 201</w:t>
            </w:r>
            <w:r w:rsidR="00467DDF" w:rsidRPr="00BC3BD6">
              <w:rPr>
                <w:rFonts w:ascii="Arial" w:hAnsi="Arial" w:cs="Arial"/>
                <w:color w:val="FFFFFF" w:themeColor="background1"/>
                <w:sz w:val="24"/>
                <w:szCs w:val="24"/>
              </w:rPr>
              <w:t>7/18</w:t>
            </w:r>
            <w:r w:rsidRPr="00BC3BD6">
              <w:rPr>
                <w:rFonts w:ascii="Arial" w:hAnsi="Arial" w:cs="Arial"/>
                <w:color w:val="FFFFFF" w:themeColor="background1"/>
                <w:sz w:val="24"/>
                <w:szCs w:val="24"/>
              </w:rPr>
              <w:t>, participation by Lancashire residents in 16-18 FE, 19-24 EHCP, SSF/Academy provision and 16-18 Apprenticeship</w:t>
            </w:r>
            <w:r w:rsidR="00136C49">
              <w:rPr>
                <w:rFonts w:ascii="Arial" w:hAnsi="Arial" w:cs="Arial"/>
                <w:color w:val="FFFFFF" w:themeColor="background1"/>
                <w:sz w:val="24"/>
                <w:szCs w:val="24"/>
              </w:rPr>
              <w:t xml:space="preserve"> starts</w:t>
            </w:r>
            <w:r w:rsidRPr="00BC3BD6">
              <w:rPr>
                <w:rFonts w:ascii="Arial" w:hAnsi="Arial" w:cs="Arial"/>
                <w:color w:val="FFFFFF" w:themeColor="background1"/>
                <w:sz w:val="24"/>
                <w:szCs w:val="24"/>
              </w:rPr>
              <w:t xml:space="preserve"> has reduced by 4.</w:t>
            </w:r>
            <w:r w:rsidR="00BC3BD6" w:rsidRPr="00BC3BD6">
              <w:rPr>
                <w:rFonts w:ascii="Arial" w:hAnsi="Arial" w:cs="Arial"/>
                <w:color w:val="FFFFFF" w:themeColor="background1"/>
                <w:sz w:val="24"/>
                <w:szCs w:val="24"/>
              </w:rPr>
              <w:t>4</w:t>
            </w:r>
            <w:r w:rsidRPr="00BC3BD6">
              <w:rPr>
                <w:rFonts w:ascii="Arial" w:hAnsi="Arial" w:cs="Arial"/>
                <w:color w:val="FFFFFF" w:themeColor="background1"/>
                <w:sz w:val="24"/>
                <w:szCs w:val="24"/>
              </w:rPr>
              <w:t>%, compared to a 3.</w:t>
            </w:r>
            <w:r w:rsidR="00BC3BD6" w:rsidRPr="00BC3BD6">
              <w:rPr>
                <w:rFonts w:ascii="Arial" w:hAnsi="Arial" w:cs="Arial"/>
                <w:color w:val="FFFFFF" w:themeColor="background1"/>
                <w:sz w:val="24"/>
                <w:szCs w:val="24"/>
              </w:rPr>
              <w:t>2</w:t>
            </w:r>
            <w:r w:rsidRPr="00BC3BD6">
              <w:rPr>
                <w:rFonts w:ascii="Arial" w:hAnsi="Arial" w:cs="Arial"/>
                <w:color w:val="FFFFFF" w:themeColor="background1"/>
                <w:sz w:val="24"/>
                <w:szCs w:val="24"/>
              </w:rPr>
              <w:t>% reduction nationally</w:t>
            </w:r>
          </w:p>
        </w:tc>
      </w:tr>
      <w:tr w:rsidR="007B7CDF" w:rsidTr="000E61C0">
        <w:tc>
          <w:tcPr>
            <w:tcW w:w="1276" w:type="dxa"/>
            <w:vAlign w:val="center"/>
          </w:tcPr>
          <w:p w:rsidR="007B7CDF" w:rsidRDefault="007B7CDF" w:rsidP="005A49A9">
            <w:pPr>
              <w:rPr>
                <w:noProof/>
                <w:lang w:eastAsia="en-GB"/>
              </w:rPr>
            </w:pPr>
          </w:p>
        </w:tc>
        <w:tc>
          <w:tcPr>
            <w:tcW w:w="7740" w:type="dxa"/>
            <w:vAlign w:val="center"/>
          </w:tcPr>
          <w:p w:rsidR="007B7CDF" w:rsidRPr="00E5532D" w:rsidRDefault="007B7CDF" w:rsidP="005A49A9">
            <w:pPr>
              <w:rPr>
                <w:rFonts w:ascii="Arial" w:hAnsi="Arial" w:cs="Arial"/>
                <w:color w:val="FFFFFF" w:themeColor="background1"/>
                <w:sz w:val="24"/>
                <w:szCs w:val="24"/>
              </w:rPr>
            </w:pPr>
          </w:p>
        </w:tc>
      </w:tr>
      <w:tr w:rsidR="007B7CDF" w:rsidTr="005809E3">
        <w:tc>
          <w:tcPr>
            <w:tcW w:w="1276" w:type="dxa"/>
            <w:vAlign w:val="center"/>
          </w:tcPr>
          <w:p w:rsidR="007B7CDF" w:rsidRDefault="007B7CDF" w:rsidP="005A49A9">
            <w:pPr>
              <w:rPr>
                <w:rFonts w:ascii="Arial" w:hAnsi="Arial" w:cs="Arial"/>
                <w:sz w:val="24"/>
                <w:szCs w:val="24"/>
              </w:rPr>
            </w:pPr>
            <w:r>
              <w:rPr>
                <w:noProof/>
                <w:lang w:eastAsia="en-GB"/>
              </w:rPr>
              <w:drawing>
                <wp:inline distT="0" distB="0" distL="0" distR="0" wp14:anchorId="71EB28EF" wp14:editId="658E4C10">
                  <wp:extent cx="648000" cy="648000"/>
                  <wp:effectExtent l="0" t="0" r="0" b="0"/>
                  <wp:docPr id="247" name="Picture 247" descr="classmat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ssmates-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740" w:type="dxa"/>
            <w:shd w:val="clear" w:color="auto" w:fill="E0E0E0"/>
            <w:vAlign w:val="center"/>
          </w:tcPr>
          <w:p w:rsidR="007B7CDF" w:rsidRPr="00BC3BD6" w:rsidRDefault="007B7CDF" w:rsidP="00BC3BD6">
            <w:pPr>
              <w:rPr>
                <w:rFonts w:ascii="Arial" w:hAnsi="Arial" w:cs="Arial"/>
                <w:sz w:val="24"/>
                <w:szCs w:val="24"/>
              </w:rPr>
            </w:pPr>
            <w:r w:rsidRPr="00BC3BD6">
              <w:rPr>
                <w:rFonts w:ascii="Arial" w:hAnsi="Arial" w:cs="Arial"/>
                <w:sz w:val="24"/>
                <w:szCs w:val="24"/>
              </w:rPr>
              <w:t xml:space="preserve">By gender, overall participation was </w:t>
            </w:r>
            <w:r w:rsidR="00BC3BD6" w:rsidRPr="00BC3BD6">
              <w:rPr>
                <w:rFonts w:ascii="Arial" w:hAnsi="Arial" w:cs="Arial"/>
                <w:sz w:val="24"/>
                <w:szCs w:val="24"/>
              </w:rPr>
              <w:t>49.0</w:t>
            </w:r>
            <w:r w:rsidRPr="00BC3BD6">
              <w:rPr>
                <w:rFonts w:ascii="Arial" w:hAnsi="Arial" w:cs="Arial"/>
                <w:sz w:val="24"/>
                <w:szCs w:val="24"/>
              </w:rPr>
              <w:t>% female and 51.</w:t>
            </w:r>
            <w:r w:rsidR="00BC3BD6" w:rsidRPr="00BC3BD6">
              <w:rPr>
                <w:rFonts w:ascii="Arial" w:hAnsi="Arial" w:cs="Arial"/>
                <w:sz w:val="24"/>
                <w:szCs w:val="24"/>
              </w:rPr>
              <w:t>0</w:t>
            </w:r>
            <w:r w:rsidRPr="00BC3BD6">
              <w:rPr>
                <w:rFonts w:ascii="Arial" w:hAnsi="Arial" w:cs="Arial"/>
                <w:sz w:val="24"/>
                <w:szCs w:val="24"/>
              </w:rPr>
              <w:t>% male</w:t>
            </w:r>
          </w:p>
        </w:tc>
      </w:tr>
      <w:tr w:rsidR="007B7CDF" w:rsidTr="000E61C0">
        <w:tc>
          <w:tcPr>
            <w:tcW w:w="1276" w:type="dxa"/>
            <w:vAlign w:val="center"/>
          </w:tcPr>
          <w:p w:rsidR="007B7CDF" w:rsidRDefault="007B7CDF" w:rsidP="005A49A9">
            <w:pPr>
              <w:rPr>
                <w:noProof/>
                <w:lang w:eastAsia="en-GB"/>
              </w:rPr>
            </w:pPr>
          </w:p>
        </w:tc>
        <w:tc>
          <w:tcPr>
            <w:tcW w:w="7740" w:type="dxa"/>
            <w:vAlign w:val="center"/>
          </w:tcPr>
          <w:p w:rsidR="007B7CDF" w:rsidRPr="00E5532D" w:rsidRDefault="007B7CDF" w:rsidP="005A49A9">
            <w:pPr>
              <w:rPr>
                <w:rFonts w:ascii="Arial" w:hAnsi="Arial" w:cs="Arial"/>
                <w:color w:val="FFFFFF" w:themeColor="background1"/>
                <w:sz w:val="24"/>
                <w:szCs w:val="24"/>
              </w:rPr>
            </w:pPr>
          </w:p>
        </w:tc>
      </w:tr>
      <w:tr w:rsidR="007B7CDF" w:rsidTr="000E61C0">
        <w:tc>
          <w:tcPr>
            <w:tcW w:w="1276" w:type="dxa"/>
            <w:vAlign w:val="center"/>
          </w:tcPr>
          <w:p w:rsidR="007B7CDF" w:rsidRDefault="007B7CDF" w:rsidP="005A49A9">
            <w:pPr>
              <w:rPr>
                <w:rFonts w:ascii="Arial" w:hAnsi="Arial" w:cs="Arial"/>
                <w:sz w:val="24"/>
                <w:szCs w:val="24"/>
              </w:rPr>
            </w:pPr>
            <w:r>
              <w:rPr>
                <w:noProof/>
                <w:lang w:eastAsia="en-GB"/>
              </w:rPr>
              <w:drawing>
                <wp:inline distT="0" distB="0" distL="0" distR="0" wp14:anchorId="1F08E9BE" wp14:editId="33FBCF07">
                  <wp:extent cx="648000" cy="648000"/>
                  <wp:effectExtent l="0" t="0" r="0" b="0"/>
                  <wp:docPr id="248" name="Picture 248" descr="agreem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reement-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740" w:type="dxa"/>
            <w:shd w:val="clear" w:color="auto" w:fill="575756"/>
            <w:vAlign w:val="center"/>
          </w:tcPr>
          <w:p w:rsidR="007B7CDF" w:rsidRPr="00BC3BD6" w:rsidRDefault="007B7CDF" w:rsidP="00BC3BD6">
            <w:pPr>
              <w:rPr>
                <w:rFonts w:ascii="Arial" w:hAnsi="Arial" w:cs="Arial"/>
                <w:color w:val="FFFFFF" w:themeColor="background1"/>
                <w:sz w:val="24"/>
                <w:szCs w:val="24"/>
              </w:rPr>
            </w:pPr>
            <w:r w:rsidRPr="00BC3BD6">
              <w:rPr>
                <w:rFonts w:ascii="Arial" w:hAnsi="Arial" w:cs="Arial"/>
                <w:color w:val="FFFFFF" w:themeColor="background1"/>
                <w:sz w:val="24"/>
                <w:szCs w:val="24"/>
              </w:rPr>
              <w:t>By ethnicity, overall participation was 8</w:t>
            </w:r>
            <w:r w:rsidR="00BC3BD6" w:rsidRPr="00BC3BD6">
              <w:rPr>
                <w:rFonts w:ascii="Arial" w:hAnsi="Arial" w:cs="Arial"/>
                <w:color w:val="FFFFFF" w:themeColor="background1"/>
                <w:sz w:val="24"/>
                <w:szCs w:val="24"/>
              </w:rPr>
              <w:t>4.4</w:t>
            </w:r>
            <w:r w:rsidRPr="00BC3BD6">
              <w:rPr>
                <w:rFonts w:ascii="Arial" w:hAnsi="Arial" w:cs="Arial"/>
                <w:color w:val="FFFFFF" w:themeColor="background1"/>
                <w:sz w:val="24"/>
                <w:szCs w:val="24"/>
              </w:rPr>
              <w:t>% White, 1</w:t>
            </w:r>
            <w:r w:rsidR="00BC3BD6" w:rsidRPr="00BC3BD6">
              <w:rPr>
                <w:rFonts w:ascii="Arial" w:hAnsi="Arial" w:cs="Arial"/>
                <w:color w:val="FFFFFF" w:themeColor="background1"/>
                <w:sz w:val="24"/>
                <w:szCs w:val="24"/>
              </w:rPr>
              <w:t>1</w:t>
            </w:r>
            <w:r w:rsidRPr="00BC3BD6">
              <w:rPr>
                <w:rFonts w:ascii="Arial" w:hAnsi="Arial" w:cs="Arial"/>
                <w:color w:val="FFFFFF" w:themeColor="background1"/>
                <w:sz w:val="24"/>
                <w:szCs w:val="24"/>
              </w:rPr>
              <w:t>.1% Asian/Asian British, 2.</w:t>
            </w:r>
            <w:r w:rsidR="00BC3BD6" w:rsidRPr="00BC3BD6">
              <w:rPr>
                <w:rFonts w:ascii="Arial" w:hAnsi="Arial" w:cs="Arial"/>
                <w:color w:val="FFFFFF" w:themeColor="background1"/>
                <w:sz w:val="24"/>
                <w:szCs w:val="24"/>
              </w:rPr>
              <w:t>2</w:t>
            </w:r>
            <w:r w:rsidRPr="00BC3BD6">
              <w:rPr>
                <w:rFonts w:ascii="Arial" w:hAnsi="Arial" w:cs="Arial"/>
                <w:color w:val="FFFFFF" w:themeColor="background1"/>
                <w:sz w:val="24"/>
                <w:szCs w:val="24"/>
              </w:rPr>
              <w:t xml:space="preserve">% </w:t>
            </w:r>
            <w:r w:rsidR="00BC3BD6" w:rsidRPr="00BC3BD6">
              <w:rPr>
                <w:rFonts w:ascii="Arial" w:hAnsi="Arial" w:cs="Arial"/>
                <w:color w:val="FFFFFF" w:themeColor="background1"/>
                <w:sz w:val="24"/>
                <w:szCs w:val="24"/>
              </w:rPr>
              <w:t>Mixed/Multiple Ethnic Group, 1.9</w:t>
            </w:r>
            <w:r w:rsidRPr="00BC3BD6">
              <w:rPr>
                <w:rFonts w:ascii="Arial" w:hAnsi="Arial" w:cs="Arial"/>
                <w:color w:val="FFFFFF" w:themeColor="background1"/>
                <w:sz w:val="24"/>
                <w:szCs w:val="24"/>
              </w:rPr>
              <w:t>% Other Ethnic Group, 0.4% Black/African/Caribbean/Black British</w:t>
            </w:r>
            <w:r w:rsidR="00BC3BD6" w:rsidRPr="00BC3BD6">
              <w:rPr>
                <w:rFonts w:ascii="Arial" w:hAnsi="Arial" w:cs="Arial"/>
                <w:color w:val="FFFFFF" w:themeColor="background1"/>
                <w:sz w:val="24"/>
                <w:szCs w:val="24"/>
              </w:rPr>
              <w:t xml:space="preserve"> and 0.1% Not K</w:t>
            </w:r>
            <w:r w:rsidRPr="00BC3BD6">
              <w:rPr>
                <w:rFonts w:ascii="Arial" w:hAnsi="Arial" w:cs="Arial"/>
                <w:color w:val="FFFFFF" w:themeColor="background1"/>
                <w:sz w:val="24"/>
                <w:szCs w:val="24"/>
              </w:rPr>
              <w:t>nown</w:t>
            </w:r>
          </w:p>
        </w:tc>
      </w:tr>
      <w:tr w:rsidR="007B7CDF" w:rsidTr="000E61C0">
        <w:tc>
          <w:tcPr>
            <w:tcW w:w="1276" w:type="dxa"/>
            <w:vAlign w:val="center"/>
          </w:tcPr>
          <w:p w:rsidR="007B7CDF" w:rsidRDefault="007B7CDF" w:rsidP="005A49A9">
            <w:pPr>
              <w:rPr>
                <w:noProof/>
                <w:lang w:eastAsia="en-GB"/>
              </w:rPr>
            </w:pPr>
          </w:p>
        </w:tc>
        <w:tc>
          <w:tcPr>
            <w:tcW w:w="7740" w:type="dxa"/>
            <w:vAlign w:val="center"/>
          </w:tcPr>
          <w:p w:rsidR="007B7CDF" w:rsidRPr="00E5532D" w:rsidRDefault="007B7CDF" w:rsidP="005A49A9">
            <w:pPr>
              <w:rPr>
                <w:rFonts w:ascii="Arial" w:hAnsi="Arial" w:cs="Arial"/>
                <w:color w:val="FFFFFF" w:themeColor="background1"/>
                <w:sz w:val="24"/>
                <w:szCs w:val="24"/>
              </w:rPr>
            </w:pPr>
          </w:p>
        </w:tc>
      </w:tr>
      <w:tr w:rsidR="007B7CDF" w:rsidTr="005809E3">
        <w:trPr>
          <w:trHeight w:val="1261"/>
        </w:trPr>
        <w:tc>
          <w:tcPr>
            <w:tcW w:w="1276" w:type="dxa"/>
            <w:vAlign w:val="center"/>
          </w:tcPr>
          <w:p w:rsidR="007B7CDF" w:rsidRDefault="007B7CDF" w:rsidP="005A49A9">
            <w:pPr>
              <w:rPr>
                <w:rFonts w:ascii="Arial" w:hAnsi="Arial" w:cs="Arial"/>
                <w:sz w:val="24"/>
                <w:szCs w:val="24"/>
              </w:rPr>
            </w:pPr>
            <w:r>
              <w:rPr>
                <w:noProof/>
                <w:lang w:eastAsia="en-GB"/>
              </w:rPr>
              <w:drawing>
                <wp:inline distT="0" distB="0" distL="0" distR="0" wp14:anchorId="5E421170" wp14:editId="27A3E3FC">
                  <wp:extent cx="648000" cy="648000"/>
                  <wp:effectExtent l="0" t="0" r="0" b="0"/>
                  <wp:docPr id="249" name="Picture 249" descr="med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dal-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740" w:type="dxa"/>
            <w:shd w:val="clear" w:color="auto" w:fill="E0E0E0"/>
            <w:vAlign w:val="center"/>
          </w:tcPr>
          <w:p w:rsidR="007B7CDF" w:rsidRPr="00CE3A71" w:rsidRDefault="007B7CDF" w:rsidP="00CE3A71">
            <w:pPr>
              <w:rPr>
                <w:rFonts w:ascii="Arial" w:hAnsi="Arial" w:cs="Arial"/>
                <w:sz w:val="24"/>
                <w:szCs w:val="24"/>
              </w:rPr>
            </w:pPr>
            <w:r w:rsidRPr="00CE3A71">
              <w:rPr>
                <w:rFonts w:ascii="Arial" w:hAnsi="Arial" w:cs="Arial"/>
                <w:sz w:val="24"/>
                <w:szCs w:val="24"/>
              </w:rPr>
              <w:t>8</w:t>
            </w:r>
            <w:r w:rsidR="00CE3A71" w:rsidRPr="00CE3A71">
              <w:rPr>
                <w:rFonts w:ascii="Arial" w:hAnsi="Arial" w:cs="Arial"/>
                <w:sz w:val="24"/>
                <w:szCs w:val="24"/>
              </w:rPr>
              <w:t>2.4</w:t>
            </w:r>
            <w:r w:rsidRPr="00CE3A71">
              <w:rPr>
                <w:rFonts w:ascii="Arial" w:hAnsi="Arial" w:cs="Arial"/>
                <w:sz w:val="24"/>
                <w:szCs w:val="24"/>
              </w:rPr>
              <w:t xml:space="preserve">% </w:t>
            </w:r>
            <w:r w:rsidR="00FA63DB">
              <w:rPr>
                <w:rFonts w:ascii="Arial" w:hAnsi="Arial" w:cs="Arial"/>
                <w:sz w:val="24"/>
                <w:szCs w:val="24"/>
              </w:rPr>
              <w:t xml:space="preserve">of </w:t>
            </w:r>
            <w:r w:rsidRPr="00CE3A71">
              <w:rPr>
                <w:rFonts w:ascii="Arial" w:hAnsi="Arial" w:cs="Arial"/>
                <w:sz w:val="24"/>
                <w:szCs w:val="24"/>
              </w:rPr>
              <w:t xml:space="preserve">young people in Lancashire achieving level 2 by the age of 19 and </w:t>
            </w:r>
            <w:r w:rsidR="00CE3A71" w:rsidRPr="00CE3A71">
              <w:rPr>
                <w:rFonts w:ascii="Arial" w:hAnsi="Arial" w:cs="Arial"/>
                <w:sz w:val="24"/>
                <w:szCs w:val="24"/>
              </w:rPr>
              <w:t>59.5</w:t>
            </w:r>
            <w:r w:rsidRPr="00CE3A71">
              <w:rPr>
                <w:rFonts w:ascii="Arial" w:hAnsi="Arial" w:cs="Arial"/>
                <w:sz w:val="24"/>
                <w:szCs w:val="24"/>
              </w:rPr>
              <w:t xml:space="preserve">% achieving level 3.  </w:t>
            </w:r>
            <w:r w:rsidR="00CE3A71" w:rsidRPr="00CE3A71">
              <w:rPr>
                <w:rFonts w:ascii="Arial" w:hAnsi="Arial" w:cs="Arial"/>
                <w:sz w:val="24"/>
                <w:szCs w:val="24"/>
              </w:rPr>
              <w:t>The n</w:t>
            </w:r>
            <w:r w:rsidRPr="00CE3A71">
              <w:rPr>
                <w:rFonts w:ascii="Arial" w:hAnsi="Arial" w:cs="Arial"/>
                <w:sz w:val="24"/>
                <w:szCs w:val="24"/>
              </w:rPr>
              <w:t>ational comparators are 8</w:t>
            </w:r>
            <w:r w:rsidR="00CE3A71" w:rsidRPr="00CE3A71">
              <w:rPr>
                <w:rFonts w:ascii="Arial" w:hAnsi="Arial" w:cs="Arial"/>
                <w:sz w:val="24"/>
                <w:szCs w:val="24"/>
              </w:rPr>
              <w:t>2.2</w:t>
            </w:r>
            <w:r w:rsidRPr="00CE3A71">
              <w:rPr>
                <w:rFonts w:ascii="Arial" w:hAnsi="Arial" w:cs="Arial"/>
                <w:sz w:val="24"/>
                <w:szCs w:val="24"/>
              </w:rPr>
              <w:t>% and 57.</w:t>
            </w:r>
            <w:r w:rsidR="00CE3A71" w:rsidRPr="00CE3A71">
              <w:rPr>
                <w:rFonts w:ascii="Arial" w:hAnsi="Arial" w:cs="Arial"/>
                <w:sz w:val="24"/>
                <w:szCs w:val="24"/>
              </w:rPr>
              <w:t>2</w:t>
            </w:r>
            <w:r w:rsidRPr="00CE3A71">
              <w:rPr>
                <w:rFonts w:ascii="Arial" w:hAnsi="Arial" w:cs="Arial"/>
                <w:sz w:val="24"/>
                <w:szCs w:val="24"/>
              </w:rPr>
              <w:t>%</w:t>
            </w:r>
          </w:p>
        </w:tc>
      </w:tr>
    </w:tbl>
    <w:p w:rsidR="007B7CDF" w:rsidRDefault="007B7CDF" w:rsidP="007B7CDF">
      <w:pPr>
        <w:spacing w:after="0" w:line="240" w:lineRule="auto"/>
        <w:rPr>
          <w:rFonts w:ascii="Arial" w:hAnsi="Arial" w:cs="Arial"/>
          <w:sz w:val="24"/>
          <w:szCs w:val="24"/>
        </w:rPr>
      </w:pPr>
    </w:p>
    <w:p w:rsidR="007B7CDF" w:rsidRPr="00197C4B" w:rsidRDefault="007B7CDF" w:rsidP="007B7CDF">
      <w:pPr>
        <w:spacing w:after="0" w:line="240" w:lineRule="auto"/>
        <w:jc w:val="center"/>
        <w:rPr>
          <w:rFonts w:ascii="Arial" w:hAnsi="Arial" w:cs="Arial"/>
          <w:sz w:val="24"/>
          <w:szCs w:val="24"/>
        </w:rPr>
      </w:pPr>
    </w:p>
    <w:p w:rsidR="007B7CDF" w:rsidRPr="00197C4B" w:rsidRDefault="007B7CDF" w:rsidP="007B7CDF">
      <w:pPr>
        <w:spacing w:after="0" w:line="240" w:lineRule="auto"/>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firstRow="1" w:lastRow="0" w:firstColumn="1" w:lastColumn="0" w:noHBand="0" w:noVBand="1"/>
      </w:tblPr>
      <w:tblGrid>
        <w:gridCol w:w="9016"/>
      </w:tblGrid>
      <w:tr w:rsidR="008E2ACA" w:rsidRPr="008E2ACA" w:rsidTr="008E2ACA">
        <w:tc>
          <w:tcPr>
            <w:tcW w:w="9016" w:type="dxa"/>
            <w:shd w:val="clear" w:color="auto" w:fill="00ACE9"/>
          </w:tcPr>
          <w:p w:rsidR="008E2ACA" w:rsidRPr="008E2ACA" w:rsidRDefault="008E2ACA" w:rsidP="007B7CDF">
            <w:pPr>
              <w:jc w:val="center"/>
              <w:rPr>
                <w:rFonts w:ascii="Arial" w:hAnsi="Arial" w:cs="Arial"/>
                <w:b/>
                <w:color w:val="FFFFFF" w:themeColor="background1"/>
                <w:sz w:val="28"/>
                <w:szCs w:val="28"/>
              </w:rPr>
            </w:pPr>
            <w:r w:rsidRPr="008E2ACA">
              <w:rPr>
                <w:rFonts w:ascii="Arial" w:hAnsi="Arial" w:cs="Arial"/>
                <w:b/>
                <w:color w:val="FFFFFF" w:themeColor="background1"/>
                <w:sz w:val="28"/>
                <w:szCs w:val="28"/>
              </w:rPr>
              <w:lastRenderedPageBreak/>
              <w:t>Key Review Findings</w:t>
            </w:r>
          </w:p>
        </w:tc>
      </w:tr>
    </w:tbl>
    <w:p w:rsidR="008E2ACA" w:rsidRPr="00BF4423" w:rsidRDefault="008E2ACA" w:rsidP="00BF4423">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9016"/>
      </w:tblGrid>
      <w:tr w:rsidR="00BF4423" w:rsidTr="00BF4423">
        <w:tc>
          <w:tcPr>
            <w:tcW w:w="9016" w:type="dxa"/>
            <w:shd w:val="clear" w:color="auto" w:fill="E0E0E0"/>
          </w:tcPr>
          <w:p w:rsidR="00BF4423" w:rsidRPr="00BF4423" w:rsidRDefault="00BF4423" w:rsidP="00BF4423">
            <w:pPr>
              <w:jc w:val="center"/>
              <w:rPr>
                <w:rFonts w:ascii="Arial" w:hAnsi="Arial" w:cs="Arial"/>
                <w:b/>
                <w:sz w:val="24"/>
                <w:szCs w:val="24"/>
              </w:rPr>
            </w:pPr>
            <w:r>
              <w:rPr>
                <w:rFonts w:ascii="Arial" w:hAnsi="Arial" w:cs="Arial"/>
                <w:b/>
                <w:sz w:val="24"/>
                <w:szCs w:val="24"/>
              </w:rPr>
              <w:t>2017/18 Key Stage 4 Performance</w:t>
            </w:r>
          </w:p>
        </w:tc>
      </w:tr>
    </w:tbl>
    <w:p w:rsidR="00BF4423" w:rsidRPr="005A49A9" w:rsidRDefault="00BF4423" w:rsidP="00BF4423">
      <w:pPr>
        <w:pStyle w:val="Default"/>
        <w:numPr>
          <w:ilvl w:val="0"/>
          <w:numId w:val="31"/>
        </w:numPr>
        <w:rPr>
          <w:color w:val="auto"/>
        </w:rPr>
      </w:pPr>
      <w:r>
        <w:rPr>
          <w:color w:val="auto"/>
        </w:rPr>
        <w:t xml:space="preserve">The </w:t>
      </w:r>
      <w:r w:rsidRPr="005A49A9">
        <w:rPr>
          <w:color w:val="auto"/>
        </w:rPr>
        <w:t>Attainment 8</w:t>
      </w:r>
      <w:r>
        <w:rPr>
          <w:color w:val="auto"/>
        </w:rPr>
        <w:t xml:space="preserve"> </w:t>
      </w:r>
      <w:r w:rsidRPr="005A49A9">
        <w:rPr>
          <w:color w:val="auto"/>
        </w:rPr>
        <w:t xml:space="preserve">score for Lancashire </w:t>
      </w:r>
      <w:r w:rsidR="00CF2C8C">
        <w:rPr>
          <w:color w:val="auto"/>
        </w:rPr>
        <w:t xml:space="preserve">residents </w:t>
      </w:r>
      <w:r w:rsidRPr="005A49A9">
        <w:rPr>
          <w:color w:val="auto"/>
        </w:rPr>
        <w:t>is better than both the North West and national positions</w:t>
      </w:r>
    </w:p>
    <w:p w:rsidR="006C727A" w:rsidRDefault="006C727A" w:rsidP="006C727A">
      <w:pPr>
        <w:pStyle w:val="Default"/>
        <w:numPr>
          <w:ilvl w:val="0"/>
          <w:numId w:val="31"/>
        </w:numPr>
        <w:rPr>
          <w:color w:val="auto"/>
        </w:rPr>
      </w:pPr>
      <w:r>
        <w:rPr>
          <w:color w:val="auto"/>
        </w:rPr>
        <w:t xml:space="preserve">Whilst the </w:t>
      </w:r>
      <w:r w:rsidRPr="005A49A9">
        <w:rPr>
          <w:color w:val="auto"/>
        </w:rPr>
        <w:t>Progress 8</w:t>
      </w:r>
      <w:r>
        <w:rPr>
          <w:color w:val="auto"/>
        </w:rPr>
        <w:t xml:space="preserve"> score for Lancashire residents is both </w:t>
      </w:r>
      <w:r w:rsidRPr="005A49A9">
        <w:rPr>
          <w:color w:val="auto"/>
        </w:rPr>
        <w:t>negative</w:t>
      </w:r>
      <w:r>
        <w:rPr>
          <w:color w:val="auto"/>
        </w:rPr>
        <w:t xml:space="preserve"> and </w:t>
      </w:r>
      <w:r w:rsidRPr="005A49A9">
        <w:rPr>
          <w:color w:val="auto"/>
        </w:rPr>
        <w:t>statistically significant</w:t>
      </w:r>
      <w:r>
        <w:rPr>
          <w:color w:val="auto"/>
        </w:rPr>
        <w:t xml:space="preserve">, it is better </w:t>
      </w:r>
      <w:r w:rsidRPr="005A49A9">
        <w:rPr>
          <w:color w:val="auto"/>
        </w:rPr>
        <w:t>than the progress made by North West residents</w:t>
      </w:r>
      <w:r>
        <w:rPr>
          <w:color w:val="auto"/>
        </w:rPr>
        <w:t>.  However, this must be addressed as a key priority</w:t>
      </w:r>
    </w:p>
    <w:p w:rsidR="006C727A" w:rsidRPr="006C727A" w:rsidRDefault="006C727A" w:rsidP="006C727A">
      <w:pPr>
        <w:pStyle w:val="Default"/>
        <w:numPr>
          <w:ilvl w:val="0"/>
          <w:numId w:val="31"/>
        </w:numPr>
        <w:rPr>
          <w:color w:val="auto"/>
        </w:rPr>
      </w:pPr>
      <w:r w:rsidRPr="006C727A">
        <w:rPr>
          <w:color w:val="auto"/>
        </w:rPr>
        <w:t>The percentage of residents achieving a grade 9-</w:t>
      </w:r>
      <w:r>
        <w:rPr>
          <w:color w:val="auto"/>
        </w:rPr>
        <w:t>4</w:t>
      </w:r>
      <w:r w:rsidRPr="006C727A">
        <w:rPr>
          <w:color w:val="auto"/>
        </w:rPr>
        <w:t xml:space="preserve"> in GCSE English and maths is </w:t>
      </w:r>
      <w:r>
        <w:rPr>
          <w:color w:val="auto"/>
        </w:rPr>
        <w:t>notably better than the North West and national averages</w:t>
      </w:r>
      <w:r w:rsidRPr="006C727A">
        <w:rPr>
          <w:color w:val="auto"/>
        </w:rPr>
        <w:t xml:space="preserve"> </w:t>
      </w:r>
    </w:p>
    <w:p w:rsidR="006C727A" w:rsidRPr="00613089" w:rsidRDefault="006C727A" w:rsidP="006C727A">
      <w:pPr>
        <w:pStyle w:val="Default"/>
        <w:numPr>
          <w:ilvl w:val="0"/>
          <w:numId w:val="31"/>
        </w:numPr>
        <w:rPr>
          <w:color w:val="auto"/>
        </w:rPr>
      </w:pPr>
      <w:r w:rsidRPr="00613089">
        <w:rPr>
          <w:color w:val="auto"/>
        </w:rPr>
        <w:t>There is a significant attainment gap for young people</w:t>
      </w:r>
      <w:r w:rsidR="001956B1">
        <w:rPr>
          <w:color w:val="auto"/>
        </w:rPr>
        <w:t xml:space="preserve"> designated as children looked after (CLA)</w:t>
      </w:r>
      <w:r w:rsidR="00613089" w:rsidRPr="00613089">
        <w:rPr>
          <w:color w:val="auto"/>
        </w:rPr>
        <w:t xml:space="preserve"> in Lancashire</w:t>
      </w:r>
      <w:r w:rsidRPr="00613089">
        <w:rPr>
          <w:color w:val="auto"/>
        </w:rPr>
        <w:t xml:space="preserve"> and progress is significantly behind their peers</w:t>
      </w:r>
    </w:p>
    <w:p w:rsidR="00BF4423" w:rsidRPr="006C727A" w:rsidRDefault="00CF2C8C" w:rsidP="00BF4423">
      <w:pPr>
        <w:pStyle w:val="Default"/>
        <w:numPr>
          <w:ilvl w:val="0"/>
          <w:numId w:val="31"/>
        </w:numPr>
        <w:rPr>
          <w:color w:val="auto"/>
        </w:rPr>
      </w:pPr>
      <w:r>
        <w:rPr>
          <w:color w:val="auto"/>
        </w:rPr>
        <w:t xml:space="preserve">There is a significant attainment </w:t>
      </w:r>
      <w:r w:rsidR="00AF6776">
        <w:rPr>
          <w:color w:val="auto"/>
        </w:rPr>
        <w:t xml:space="preserve">gap </w:t>
      </w:r>
      <w:r>
        <w:rPr>
          <w:color w:val="auto"/>
        </w:rPr>
        <w:t xml:space="preserve">for </w:t>
      </w:r>
      <w:r w:rsidR="001956B1">
        <w:rPr>
          <w:color w:val="auto"/>
        </w:rPr>
        <w:t xml:space="preserve">SEN </w:t>
      </w:r>
      <w:proofErr w:type="gramStart"/>
      <w:r w:rsidR="006C727A">
        <w:rPr>
          <w:color w:val="auto"/>
        </w:rPr>
        <w:t>young</w:t>
      </w:r>
      <w:proofErr w:type="gramEnd"/>
      <w:r w:rsidR="006C727A">
        <w:rPr>
          <w:color w:val="auto"/>
        </w:rPr>
        <w:t xml:space="preserve"> people from Lancashire with a statement or </w:t>
      </w:r>
      <w:r w:rsidR="009B33AD">
        <w:rPr>
          <w:color w:val="auto"/>
        </w:rPr>
        <w:t>Education, Health and Care Plan (</w:t>
      </w:r>
      <w:r w:rsidR="006C727A">
        <w:rPr>
          <w:color w:val="auto"/>
        </w:rPr>
        <w:t>EHCP</w:t>
      </w:r>
      <w:r w:rsidR="009B33AD">
        <w:rPr>
          <w:color w:val="auto"/>
        </w:rPr>
        <w:t>)</w:t>
      </w:r>
      <w:r>
        <w:rPr>
          <w:color w:val="auto"/>
        </w:rPr>
        <w:t xml:space="preserve">.  Their Progress 8 score is negative but is </w:t>
      </w:r>
      <w:r w:rsidR="006C727A">
        <w:rPr>
          <w:color w:val="auto"/>
        </w:rPr>
        <w:t>marginally better than the North West position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75756"/>
        <w:tblLook w:val="04A0" w:firstRow="1" w:lastRow="0" w:firstColumn="1" w:lastColumn="0" w:noHBand="0" w:noVBand="1"/>
      </w:tblPr>
      <w:tblGrid>
        <w:gridCol w:w="9016"/>
      </w:tblGrid>
      <w:tr w:rsidR="00BF4423" w:rsidRPr="00BF4423" w:rsidTr="00BF4423">
        <w:trPr>
          <w:jc w:val="center"/>
        </w:trPr>
        <w:tc>
          <w:tcPr>
            <w:tcW w:w="9016" w:type="dxa"/>
            <w:shd w:val="clear" w:color="auto" w:fill="575756"/>
          </w:tcPr>
          <w:p w:rsidR="00BF4423" w:rsidRPr="00BF4423" w:rsidRDefault="00BF4423" w:rsidP="00BF4423">
            <w:pPr>
              <w:jc w:val="center"/>
              <w:rPr>
                <w:rFonts w:ascii="Arial" w:hAnsi="Arial" w:cs="Arial"/>
                <w:b/>
                <w:color w:val="FFFFFF" w:themeColor="background1"/>
                <w:sz w:val="24"/>
                <w:szCs w:val="24"/>
              </w:rPr>
            </w:pPr>
            <w:r>
              <w:rPr>
                <w:rFonts w:ascii="Arial" w:hAnsi="Arial" w:cs="Arial"/>
                <w:b/>
                <w:color w:val="FFFFFF" w:themeColor="background1"/>
                <w:sz w:val="24"/>
                <w:szCs w:val="24"/>
              </w:rPr>
              <w:t>Overall Participation</w:t>
            </w:r>
          </w:p>
        </w:tc>
      </w:tr>
    </w:tbl>
    <w:p w:rsidR="00BF4423" w:rsidRDefault="006C727A" w:rsidP="006C727A">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Lancashire's overall participation </w:t>
      </w:r>
      <w:r w:rsidR="0054590A">
        <w:rPr>
          <w:rFonts w:ascii="Arial" w:hAnsi="Arial" w:cs="Arial"/>
          <w:sz w:val="24"/>
          <w:szCs w:val="24"/>
        </w:rPr>
        <w:t xml:space="preserve">has </w:t>
      </w:r>
      <w:r>
        <w:rPr>
          <w:rFonts w:ascii="Arial" w:hAnsi="Arial" w:cs="Arial"/>
          <w:sz w:val="24"/>
          <w:szCs w:val="24"/>
        </w:rPr>
        <w:t>reduced by 4.4% compared to a 3.2% reduction nationally.  This is set against a declining cohort of 16-18 year olds</w:t>
      </w:r>
    </w:p>
    <w:p w:rsidR="001B765D" w:rsidRPr="001B765D" w:rsidRDefault="001B765D" w:rsidP="006C727A">
      <w:pPr>
        <w:pStyle w:val="ListParagraph"/>
        <w:numPr>
          <w:ilvl w:val="0"/>
          <w:numId w:val="32"/>
        </w:numPr>
        <w:spacing w:after="0" w:line="240" w:lineRule="auto"/>
        <w:rPr>
          <w:rFonts w:ascii="Arial" w:hAnsi="Arial" w:cs="Arial"/>
          <w:sz w:val="24"/>
          <w:szCs w:val="24"/>
        </w:rPr>
      </w:pPr>
      <w:r w:rsidRPr="001B765D">
        <w:rPr>
          <w:rFonts w:ascii="Arial" w:hAnsi="Arial" w:cs="Arial"/>
          <w:sz w:val="24"/>
          <w:szCs w:val="24"/>
        </w:rPr>
        <w:t xml:space="preserve">Other than 19-24 EHCP, all routes have seen a reduction in participation.  For </w:t>
      </w:r>
      <w:r>
        <w:rPr>
          <w:rFonts w:ascii="Arial" w:hAnsi="Arial" w:cs="Arial"/>
          <w:sz w:val="24"/>
          <w:szCs w:val="24"/>
        </w:rPr>
        <w:t>Lancashire</w:t>
      </w:r>
      <w:r w:rsidRPr="001B765D">
        <w:rPr>
          <w:rFonts w:ascii="Arial" w:hAnsi="Arial" w:cs="Arial"/>
          <w:sz w:val="24"/>
          <w:szCs w:val="24"/>
        </w:rPr>
        <w:t xml:space="preserve"> residents, </w:t>
      </w:r>
      <w:r>
        <w:rPr>
          <w:rFonts w:ascii="Arial" w:hAnsi="Arial" w:cs="Arial"/>
          <w:sz w:val="24"/>
          <w:szCs w:val="24"/>
        </w:rPr>
        <w:t>16-18 FE participation has reduced by 1.4%, SSF and Academy participation has reduced by 9.7% and 16-18 Apprenticeship starts have reduced by 14.9%.  19-24 EHCP participation has increased by 2.9%</w:t>
      </w:r>
    </w:p>
    <w:p w:rsidR="00BF4423" w:rsidRPr="001B765D" w:rsidRDefault="00107CB7" w:rsidP="001B765D">
      <w:pPr>
        <w:pStyle w:val="ListParagraph"/>
        <w:numPr>
          <w:ilvl w:val="0"/>
          <w:numId w:val="32"/>
        </w:numPr>
        <w:spacing w:after="0" w:line="240" w:lineRule="auto"/>
        <w:rPr>
          <w:rFonts w:ascii="Arial" w:hAnsi="Arial" w:cs="Arial"/>
          <w:sz w:val="24"/>
          <w:szCs w:val="24"/>
        </w:rPr>
      </w:pPr>
      <w:r w:rsidRPr="001B765D">
        <w:rPr>
          <w:rFonts w:ascii="Arial" w:hAnsi="Arial" w:cs="Arial"/>
          <w:sz w:val="24"/>
          <w:szCs w:val="24"/>
        </w:rPr>
        <w:t>89.2% of 16 and 17 year olds in Lancashire are meeting the</w:t>
      </w:r>
      <w:r w:rsidR="009B33AD">
        <w:rPr>
          <w:rFonts w:ascii="Arial" w:hAnsi="Arial" w:cs="Arial"/>
          <w:sz w:val="24"/>
          <w:szCs w:val="24"/>
        </w:rPr>
        <w:t>ir</w:t>
      </w:r>
      <w:r w:rsidRPr="001B765D">
        <w:rPr>
          <w:rFonts w:ascii="Arial" w:hAnsi="Arial" w:cs="Arial"/>
          <w:sz w:val="24"/>
          <w:szCs w:val="24"/>
        </w:rPr>
        <w:t xml:space="preserve"> duty to</w:t>
      </w:r>
      <w:r>
        <w:rPr>
          <w:rFonts w:ascii="Arial" w:hAnsi="Arial" w:cs="Arial"/>
          <w:sz w:val="24"/>
          <w:szCs w:val="24"/>
        </w:rPr>
        <w:t xml:space="preserve"> participate compared to 92.1% nationally, which is an increase of 0.1% compared to the previous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9016"/>
      </w:tblGrid>
      <w:tr w:rsidR="00BF4423" w:rsidTr="00BF4423">
        <w:tc>
          <w:tcPr>
            <w:tcW w:w="9016" w:type="dxa"/>
            <w:shd w:val="clear" w:color="auto" w:fill="E0E0E0"/>
          </w:tcPr>
          <w:p w:rsidR="00BF4423" w:rsidRPr="00BF4423" w:rsidRDefault="00BF4423" w:rsidP="00BF4423">
            <w:pPr>
              <w:jc w:val="center"/>
              <w:rPr>
                <w:rFonts w:ascii="Arial" w:hAnsi="Arial" w:cs="Arial"/>
                <w:b/>
                <w:sz w:val="24"/>
                <w:szCs w:val="24"/>
              </w:rPr>
            </w:pPr>
            <w:r>
              <w:rPr>
                <w:rFonts w:ascii="Arial" w:hAnsi="Arial" w:cs="Arial"/>
                <w:b/>
                <w:sz w:val="24"/>
                <w:szCs w:val="24"/>
              </w:rPr>
              <w:t>English and Maths Condition of Funding</w:t>
            </w:r>
          </w:p>
        </w:tc>
      </w:tr>
    </w:tbl>
    <w:p w:rsidR="00BF4423" w:rsidRPr="00CF3789" w:rsidRDefault="00107CB7" w:rsidP="00CF3789">
      <w:pPr>
        <w:pStyle w:val="ListParagraph"/>
        <w:numPr>
          <w:ilvl w:val="0"/>
          <w:numId w:val="33"/>
        </w:numPr>
        <w:spacing w:after="0" w:line="240" w:lineRule="auto"/>
        <w:rPr>
          <w:rFonts w:ascii="Arial" w:hAnsi="Arial" w:cs="Arial"/>
          <w:sz w:val="24"/>
          <w:szCs w:val="24"/>
        </w:rPr>
      </w:pPr>
      <w:r>
        <w:rPr>
          <w:rFonts w:ascii="Arial" w:hAnsi="Arial" w:cs="Arial"/>
          <w:sz w:val="24"/>
          <w:szCs w:val="24"/>
        </w:rPr>
        <w:t>98.5% of students met the English and maths condition of funding, compared to 98.1% in 2016/17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75756"/>
        <w:tblLook w:val="04A0" w:firstRow="1" w:lastRow="0" w:firstColumn="1" w:lastColumn="0" w:noHBand="0" w:noVBand="1"/>
      </w:tblPr>
      <w:tblGrid>
        <w:gridCol w:w="9016"/>
      </w:tblGrid>
      <w:tr w:rsidR="00BF4423" w:rsidTr="00BF4423">
        <w:tc>
          <w:tcPr>
            <w:tcW w:w="9016" w:type="dxa"/>
            <w:shd w:val="clear" w:color="auto" w:fill="575756"/>
          </w:tcPr>
          <w:p w:rsidR="00BF4423" w:rsidRPr="00BF4423" w:rsidRDefault="00BF4423" w:rsidP="00BF4423">
            <w:pPr>
              <w:jc w:val="center"/>
              <w:rPr>
                <w:rFonts w:ascii="Arial" w:hAnsi="Arial" w:cs="Arial"/>
                <w:b/>
                <w:color w:val="FFFFFF" w:themeColor="background1"/>
                <w:sz w:val="24"/>
                <w:szCs w:val="24"/>
              </w:rPr>
            </w:pPr>
            <w:r>
              <w:rPr>
                <w:rFonts w:ascii="Arial" w:hAnsi="Arial" w:cs="Arial"/>
                <w:b/>
                <w:color w:val="FFFFFF" w:themeColor="background1"/>
                <w:sz w:val="24"/>
                <w:szCs w:val="24"/>
              </w:rPr>
              <w:t>Level 2 and Level 3 Attainment at 19 by FSM</w:t>
            </w:r>
          </w:p>
        </w:tc>
      </w:tr>
    </w:tbl>
    <w:p w:rsidR="00AF6776" w:rsidRPr="00E66370" w:rsidRDefault="00AF6776" w:rsidP="00AF6776">
      <w:pPr>
        <w:pStyle w:val="ListParagraph"/>
        <w:numPr>
          <w:ilvl w:val="0"/>
          <w:numId w:val="34"/>
        </w:numPr>
        <w:spacing w:after="0" w:line="240" w:lineRule="auto"/>
        <w:rPr>
          <w:rFonts w:ascii="Arial" w:hAnsi="Arial" w:cs="Arial"/>
          <w:sz w:val="24"/>
          <w:szCs w:val="24"/>
        </w:rPr>
      </w:pPr>
      <w:r w:rsidRPr="00E66370">
        <w:rPr>
          <w:rFonts w:ascii="Arial" w:hAnsi="Arial" w:cs="Arial"/>
          <w:sz w:val="24"/>
          <w:szCs w:val="24"/>
        </w:rPr>
        <w:t>Lancashire is below the N</w:t>
      </w:r>
      <w:r>
        <w:rPr>
          <w:rFonts w:ascii="Arial" w:hAnsi="Arial" w:cs="Arial"/>
          <w:sz w:val="24"/>
          <w:szCs w:val="24"/>
        </w:rPr>
        <w:t xml:space="preserve">orth </w:t>
      </w:r>
      <w:r w:rsidRPr="00E66370">
        <w:rPr>
          <w:rFonts w:ascii="Arial" w:hAnsi="Arial" w:cs="Arial"/>
          <w:sz w:val="24"/>
          <w:szCs w:val="24"/>
        </w:rPr>
        <w:t>W</w:t>
      </w:r>
      <w:r>
        <w:rPr>
          <w:rFonts w:ascii="Arial" w:hAnsi="Arial" w:cs="Arial"/>
          <w:sz w:val="24"/>
          <w:szCs w:val="24"/>
        </w:rPr>
        <w:t>est</w:t>
      </w:r>
      <w:r w:rsidRPr="00E66370">
        <w:rPr>
          <w:rFonts w:ascii="Arial" w:hAnsi="Arial" w:cs="Arial"/>
          <w:sz w:val="24"/>
          <w:szCs w:val="24"/>
        </w:rPr>
        <w:t xml:space="preserve"> and national positions for young people eligible for free school meals (FSM) achieving at both level 2 and level 3</w:t>
      </w:r>
    </w:p>
    <w:p w:rsidR="00AF6776" w:rsidRPr="00E66370" w:rsidRDefault="00AF6776" w:rsidP="00AF6776">
      <w:pPr>
        <w:pStyle w:val="ListParagraph"/>
        <w:numPr>
          <w:ilvl w:val="0"/>
          <w:numId w:val="34"/>
        </w:numPr>
        <w:spacing w:after="0" w:line="240" w:lineRule="auto"/>
        <w:rPr>
          <w:rFonts w:ascii="Arial" w:hAnsi="Arial" w:cs="Arial"/>
          <w:sz w:val="24"/>
          <w:szCs w:val="24"/>
        </w:rPr>
      </w:pPr>
      <w:r>
        <w:rPr>
          <w:rFonts w:ascii="Arial" w:hAnsi="Arial" w:cs="Arial"/>
          <w:sz w:val="24"/>
          <w:szCs w:val="24"/>
        </w:rPr>
        <w:t xml:space="preserve">The </w:t>
      </w:r>
      <w:r w:rsidRPr="00E66370">
        <w:rPr>
          <w:rFonts w:ascii="Arial" w:hAnsi="Arial" w:cs="Arial"/>
          <w:sz w:val="24"/>
          <w:szCs w:val="24"/>
        </w:rPr>
        <w:t xml:space="preserve">attainment gap </w:t>
      </w:r>
      <w:r>
        <w:rPr>
          <w:rFonts w:ascii="Arial" w:hAnsi="Arial" w:cs="Arial"/>
          <w:sz w:val="24"/>
          <w:szCs w:val="24"/>
        </w:rPr>
        <w:t>at l</w:t>
      </w:r>
      <w:r w:rsidRPr="00E66370">
        <w:rPr>
          <w:rFonts w:ascii="Arial" w:hAnsi="Arial" w:cs="Arial"/>
          <w:sz w:val="24"/>
          <w:szCs w:val="24"/>
        </w:rPr>
        <w:t xml:space="preserve">evel 2 is higher than the </w:t>
      </w:r>
      <w:r>
        <w:rPr>
          <w:rFonts w:ascii="Arial" w:hAnsi="Arial" w:cs="Arial"/>
          <w:sz w:val="24"/>
          <w:szCs w:val="24"/>
        </w:rPr>
        <w:t xml:space="preserve">North West and </w:t>
      </w:r>
      <w:r w:rsidRPr="00E66370">
        <w:rPr>
          <w:rFonts w:ascii="Arial" w:hAnsi="Arial" w:cs="Arial"/>
          <w:sz w:val="24"/>
          <w:szCs w:val="24"/>
        </w:rPr>
        <w:t>national position</w:t>
      </w:r>
      <w:r>
        <w:rPr>
          <w:rFonts w:ascii="Arial" w:hAnsi="Arial" w:cs="Arial"/>
          <w:sz w:val="24"/>
          <w:szCs w:val="24"/>
        </w:rPr>
        <w:t>s</w:t>
      </w:r>
    </w:p>
    <w:p w:rsidR="001B765D" w:rsidRPr="00AF6776" w:rsidRDefault="00AF6776" w:rsidP="00AF6776">
      <w:pPr>
        <w:pStyle w:val="ListParagraph"/>
        <w:numPr>
          <w:ilvl w:val="0"/>
          <w:numId w:val="34"/>
        </w:numPr>
        <w:spacing w:after="0" w:line="240" w:lineRule="auto"/>
        <w:rPr>
          <w:rFonts w:ascii="Arial" w:hAnsi="Arial" w:cs="Arial"/>
          <w:sz w:val="24"/>
          <w:szCs w:val="24"/>
        </w:rPr>
      </w:pPr>
      <w:r>
        <w:rPr>
          <w:rFonts w:ascii="Arial" w:hAnsi="Arial" w:cs="Arial"/>
          <w:sz w:val="24"/>
          <w:szCs w:val="24"/>
        </w:rPr>
        <w:t xml:space="preserve">The </w:t>
      </w:r>
      <w:r w:rsidRPr="00E66370">
        <w:rPr>
          <w:rFonts w:ascii="Arial" w:hAnsi="Arial" w:cs="Arial"/>
          <w:sz w:val="24"/>
          <w:szCs w:val="24"/>
        </w:rPr>
        <w:t xml:space="preserve">attainment gap </w:t>
      </w:r>
      <w:r>
        <w:rPr>
          <w:rFonts w:ascii="Arial" w:hAnsi="Arial" w:cs="Arial"/>
          <w:sz w:val="24"/>
          <w:szCs w:val="24"/>
        </w:rPr>
        <w:t>at l</w:t>
      </w:r>
      <w:r w:rsidRPr="00E66370">
        <w:rPr>
          <w:rFonts w:ascii="Arial" w:hAnsi="Arial" w:cs="Arial"/>
          <w:sz w:val="24"/>
          <w:szCs w:val="24"/>
        </w:rPr>
        <w:t>evel 3</w:t>
      </w:r>
      <w:r>
        <w:rPr>
          <w:rFonts w:ascii="Arial" w:hAnsi="Arial" w:cs="Arial"/>
          <w:sz w:val="24"/>
          <w:szCs w:val="24"/>
        </w:rPr>
        <w:t xml:space="preserve"> </w:t>
      </w:r>
      <w:r w:rsidRPr="00E66370">
        <w:rPr>
          <w:rFonts w:ascii="Arial" w:hAnsi="Arial" w:cs="Arial"/>
          <w:sz w:val="24"/>
          <w:szCs w:val="24"/>
        </w:rPr>
        <w:t>is notably higher than the N</w:t>
      </w:r>
      <w:r>
        <w:rPr>
          <w:rFonts w:ascii="Arial" w:hAnsi="Arial" w:cs="Arial"/>
          <w:sz w:val="24"/>
          <w:szCs w:val="24"/>
        </w:rPr>
        <w:t xml:space="preserve">orth </w:t>
      </w:r>
      <w:r w:rsidRPr="00E66370">
        <w:rPr>
          <w:rFonts w:ascii="Arial" w:hAnsi="Arial" w:cs="Arial"/>
          <w:sz w:val="24"/>
          <w:szCs w:val="24"/>
        </w:rPr>
        <w:t>W</w:t>
      </w:r>
      <w:r>
        <w:rPr>
          <w:rFonts w:ascii="Arial" w:hAnsi="Arial" w:cs="Arial"/>
          <w:sz w:val="24"/>
          <w:szCs w:val="24"/>
        </w:rPr>
        <w:t>est</w:t>
      </w:r>
      <w:r w:rsidRPr="00E66370">
        <w:rPr>
          <w:rFonts w:ascii="Arial" w:hAnsi="Arial" w:cs="Arial"/>
          <w:sz w:val="24"/>
          <w:szCs w:val="24"/>
        </w:rPr>
        <w:t xml:space="preserve"> and national positions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9016"/>
      </w:tblGrid>
      <w:tr w:rsidR="00BF4423" w:rsidTr="00BF4423">
        <w:tc>
          <w:tcPr>
            <w:tcW w:w="9016" w:type="dxa"/>
            <w:shd w:val="clear" w:color="auto" w:fill="E0E0E0"/>
          </w:tcPr>
          <w:p w:rsidR="00BF4423" w:rsidRPr="00BF4423" w:rsidRDefault="00BF4423" w:rsidP="00BF4423">
            <w:pPr>
              <w:jc w:val="center"/>
              <w:rPr>
                <w:rFonts w:ascii="Arial" w:hAnsi="Arial" w:cs="Arial"/>
                <w:sz w:val="24"/>
                <w:szCs w:val="24"/>
              </w:rPr>
            </w:pPr>
            <w:r w:rsidRPr="00BF4423">
              <w:rPr>
                <w:rFonts w:ascii="Arial" w:hAnsi="Arial" w:cs="Arial"/>
                <w:b/>
                <w:sz w:val="24"/>
                <w:szCs w:val="24"/>
              </w:rPr>
              <w:t xml:space="preserve">Level 2 and Level 3 Attainment at 19 by </w:t>
            </w:r>
            <w:r>
              <w:rPr>
                <w:rFonts w:ascii="Arial" w:hAnsi="Arial" w:cs="Arial"/>
                <w:b/>
                <w:sz w:val="24"/>
                <w:szCs w:val="24"/>
              </w:rPr>
              <w:t>SEN</w:t>
            </w:r>
          </w:p>
        </w:tc>
      </w:tr>
    </w:tbl>
    <w:p w:rsidR="00AF6776" w:rsidRPr="00AF6776" w:rsidRDefault="00AF6776" w:rsidP="00AF6776">
      <w:pPr>
        <w:pStyle w:val="ListParagraph"/>
        <w:numPr>
          <w:ilvl w:val="0"/>
          <w:numId w:val="35"/>
        </w:numPr>
        <w:spacing w:after="0" w:line="240" w:lineRule="auto"/>
        <w:rPr>
          <w:rFonts w:ascii="Arial" w:hAnsi="Arial" w:cs="Arial"/>
          <w:sz w:val="24"/>
          <w:szCs w:val="23"/>
        </w:rPr>
      </w:pPr>
      <w:r w:rsidRPr="00AF6776">
        <w:rPr>
          <w:rFonts w:ascii="Arial" w:hAnsi="Arial" w:cs="Arial"/>
          <w:sz w:val="24"/>
          <w:szCs w:val="23"/>
        </w:rPr>
        <w:t>Lancashire is below the North West and national positions for young people with special educational needs (SEN) achieving at level 2 but is above the North West position at level 3</w:t>
      </w:r>
    </w:p>
    <w:p w:rsidR="00AF6776" w:rsidRPr="00AF6776" w:rsidRDefault="00AF6776" w:rsidP="00AF6776">
      <w:pPr>
        <w:pStyle w:val="ListParagraph"/>
        <w:numPr>
          <w:ilvl w:val="0"/>
          <w:numId w:val="35"/>
        </w:numPr>
        <w:spacing w:after="0" w:line="240" w:lineRule="auto"/>
        <w:rPr>
          <w:rFonts w:ascii="Arial" w:hAnsi="Arial" w:cs="Arial"/>
          <w:sz w:val="24"/>
          <w:szCs w:val="23"/>
        </w:rPr>
      </w:pPr>
      <w:r>
        <w:rPr>
          <w:rFonts w:ascii="Arial" w:hAnsi="Arial" w:cs="Arial"/>
          <w:sz w:val="24"/>
          <w:szCs w:val="23"/>
        </w:rPr>
        <w:t>The a</w:t>
      </w:r>
      <w:r w:rsidRPr="00AF6776">
        <w:rPr>
          <w:rFonts w:ascii="Arial" w:hAnsi="Arial" w:cs="Arial"/>
          <w:sz w:val="24"/>
          <w:szCs w:val="23"/>
        </w:rPr>
        <w:t>ttainment gap at level 2 is higher than the North West and national positions</w:t>
      </w:r>
    </w:p>
    <w:p w:rsidR="001B765D" w:rsidRPr="00AF6776" w:rsidRDefault="00AF6776" w:rsidP="00AF6776">
      <w:pPr>
        <w:pStyle w:val="ListParagraph"/>
        <w:numPr>
          <w:ilvl w:val="0"/>
          <w:numId w:val="35"/>
        </w:numPr>
        <w:spacing w:after="0" w:line="240" w:lineRule="auto"/>
        <w:rPr>
          <w:rFonts w:ascii="Arial" w:hAnsi="Arial" w:cs="Arial"/>
          <w:sz w:val="24"/>
          <w:szCs w:val="23"/>
        </w:rPr>
      </w:pPr>
      <w:r>
        <w:rPr>
          <w:rFonts w:ascii="Arial" w:hAnsi="Arial" w:cs="Arial"/>
          <w:sz w:val="24"/>
          <w:szCs w:val="23"/>
        </w:rPr>
        <w:t>The a</w:t>
      </w:r>
      <w:r w:rsidRPr="00AF6776">
        <w:rPr>
          <w:rFonts w:ascii="Arial" w:hAnsi="Arial" w:cs="Arial"/>
          <w:sz w:val="24"/>
          <w:szCs w:val="23"/>
        </w:rPr>
        <w:t xml:space="preserve">ttainment gap at level 3 is higher than the </w:t>
      </w:r>
      <w:r>
        <w:rPr>
          <w:rFonts w:ascii="Arial" w:hAnsi="Arial" w:cs="Arial"/>
          <w:sz w:val="24"/>
          <w:szCs w:val="23"/>
        </w:rPr>
        <w:t>national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75756"/>
        <w:tblLook w:val="04A0" w:firstRow="1" w:lastRow="0" w:firstColumn="1" w:lastColumn="0" w:noHBand="0" w:noVBand="1"/>
      </w:tblPr>
      <w:tblGrid>
        <w:gridCol w:w="9016"/>
      </w:tblGrid>
      <w:tr w:rsidR="00BF4423" w:rsidTr="00BF4423">
        <w:tc>
          <w:tcPr>
            <w:tcW w:w="9016" w:type="dxa"/>
            <w:shd w:val="clear" w:color="auto" w:fill="575756"/>
          </w:tcPr>
          <w:p w:rsidR="00BF4423" w:rsidRPr="00BF4423" w:rsidRDefault="00BF4423" w:rsidP="00BF4423">
            <w:pPr>
              <w:jc w:val="center"/>
              <w:rPr>
                <w:rFonts w:ascii="Arial" w:hAnsi="Arial" w:cs="Arial"/>
                <w:b/>
                <w:color w:val="FFFFFF" w:themeColor="background1"/>
                <w:sz w:val="24"/>
                <w:szCs w:val="24"/>
              </w:rPr>
            </w:pPr>
            <w:r>
              <w:rPr>
                <w:rFonts w:ascii="Arial" w:hAnsi="Arial" w:cs="Arial"/>
                <w:b/>
                <w:color w:val="FFFFFF" w:themeColor="background1"/>
                <w:sz w:val="24"/>
                <w:szCs w:val="24"/>
              </w:rPr>
              <w:t>16-18 Accountability Measures</w:t>
            </w:r>
          </w:p>
        </w:tc>
      </w:tr>
    </w:tbl>
    <w:p w:rsidR="00BF4423" w:rsidRDefault="0054590A" w:rsidP="00E377B4">
      <w:pPr>
        <w:pStyle w:val="ListParagraph"/>
        <w:numPr>
          <w:ilvl w:val="0"/>
          <w:numId w:val="36"/>
        </w:numPr>
        <w:spacing w:after="0" w:line="240" w:lineRule="auto"/>
        <w:rPr>
          <w:rFonts w:ascii="Arial" w:hAnsi="Arial" w:cs="Arial"/>
          <w:sz w:val="24"/>
          <w:szCs w:val="24"/>
        </w:rPr>
      </w:pPr>
      <w:r>
        <w:rPr>
          <w:rFonts w:ascii="Arial" w:hAnsi="Arial" w:cs="Arial"/>
          <w:sz w:val="24"/>
          <w:szCs w:val="24"/>
        </w:rPr>
        <w:t>Attainment and retention are variable across the qualification types and when compared against the national averages</w:t>
      </w:r>
    </w:p>
    <w:p w:rsidR="0054590A" w:rsidRDefault="0054590A" w:rsidP="00E377B4">
      <w:pPr>
        <w:pStyle w:val="ListParagraph"/>
        <w:numPr>
          <w:ilvl w:val="0"/>
          <w:numId w:val="36"/>
        </w:numPr>
        <w:spacing w:after="0" w:line="240" w:lineRule="auto"/>
        <w:rPr>
          <w:rFonts w:ascii="Arial" w:hAnsi="Arial" w:cs="Arial"/>
          <w:sz w:val="24"/>
          <w:szCs w:val="24"/>
        </w:rPr>
      </w:pPr>
      <w:r>
        <w:rPr>
          <w:rFonts w:ascii="Arial" w:hAnsi="Arial" w:cs="Arial"/>
          <w:sz w:val="24"/>
          <w:szCs w:val="24"/>
        </w:rPr>
        <w:t>Positive progress is made in both English and maths</w:t>
      </w:r>
    </w:p>
    <w:p w:rsidR="00514275" w:rsidRDefault="0054590A" w:rsidP="00514275">
      <w:pPr>
        <w:pStyle w:val="ListParagraph"/>
        <w:numPr>
          <w:ilvl w:val="0"/>
          <w:numId w:val="36"/>
        </w:numPr>
        <w:spacing w:after="0" w:line="240" w:lineRule="auto"/>
        <w:rPr>
          <w:rFonts w:ascii="Arial" w:hAnsi="Arial" w:cs="Arial"/>
          <w:sz w:val="24"/>
          <w:szCs w:val="24"/>
        </w:rPr>
      </w:pPr>
      <w:r>
        <w:rPr>
          <w:rFonts w:ascii="Arial" w:hAnsi="Arial" w:cs="Arial"/>
          <w:sz w:val="24"/>
          <w:szCs w:val="24"/>
        </w:rPr>
        <w:t>The destination measure for Lancashire residents continues to be higher than the national average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CE9"/>
        <w:tblLook w:val="04A0" w:firstRow="1" w:lastRow="0" w:firstColumn="1" w:lastColumn="0" w:noHBand="0" w:noVBand="1"/>
      </w:tblPr>
      <w:tblGrid>
        <w:gridCol w:w="9016"/>
      </w:tblGrid>
      <w:tr w:rsidR="001B765D" w:rsidTr="001B765D">
        <w:tc>
          <w:tcPr>
            <w:tcW w:w="9016" w:type="dxa"/>
            <w:shd w:val="clear" w:color="auto" w:fill="00ACE9"/>
          </w:tcPr>
          <w:p w:rsidR="001B765D" w:rsidRPr="001B765D" w:rsidRDefault="001B765D" w:rsidP="001B765D">
            <w:pPr>
              <w:jc w:val="center"/>
              <w:rPr>
                <w:rFonts w:ascii="Arial" w:hAnsi="Arial" w:cs="Arial"/>
                <w:b/>
                <w:color w:val="FFFFFF" w:themeColor="background1"/>
                <w:sz w:val="24"/>
                <w:szCs w:val="24"/>
              </w:rPr>
            </w:pPr>
            <w:r>
              <w:rPr>
                <w:rFonts w:ascii="Arial" w:hAnsi="Arial" w:cs="Arial"/>
                <w:b/>
                <w:color w:val="FFFFFF" w:themeColor="background1"/>
                <w:sz w:val="24"/>
                <w:szCs w:val="24"/>
              </w:rPr>
              <w:lastRenderedPageBreak/>
              <w:t>Summary of the Key County Wide Factors</w:t>
            </w:r>
          </w:p>
        </w:tc>
      </w:tr>
    </w:tbl>
    <w:p w:rsidR="001B765D" w:rsidRPr="002D635C" w:rsidRDefault="001B765D" w:rsidP="001B765D">
      <w:pPr>
        <w:spacing w:after="0" w:line="240" w:lineRule="auto"/>
        <w:rPr>
          <w:rFonts w:ascii="Arial" w:hAnsi="Arial" w:cs="Arial"/>
          <w:sz w:val="24"/>
          <w:szCs w:val="24"/>
        </w:rPr>
      </w:pPr>
    </w:p>
    <w:p w:rsidR="007B7CDF" w:rsidRPr="00F70C3C" w:rsidRDefault="007B7CDF" w:rsidP="007B7CDF">
      <w:pPr>
        <w:numPr>
          <w:ilvl w:val="0"/>
          <w:numId w:val="13"/>
        </w:numPr>
        <w:spacing w:after="0" w:line="240" w:lineRule="auto"/>
        <w:rPr>
          <w:rFonts w:ascii="Arial" w:hAnsi="Arial" w:cs="Arial"/>
          <w:sz w:val="24"/>
          <w:szCs w:val="24"/>
        </w:rPr>
      </w:pPr>
      <w:r w:rsidRPr="00F70C3C">
        <w:rPr>
          <w:rFonts w:ascii="Arial" w:hAnsi="Arial" w:cs="Arial"/>
          <w:sz w:val="24"/>
          <w:szCs w:val="24"/>
        </w:rPr>
        <w:t>The ONS 2016-based Subnational Population Projections show that, over the period 2019 up to and including 2029, the 16-18 year old cohort in Lancashire is set</w:t>
      </w:r>
      <w:r w:rsidR="005A592C">
        <w:rPr>
          <w:rFonts w:ascii="Arial" w:hAnsi="Arial" w:cs="Arial"/>
          <w:sz w:val="24"/>
          <w:szCs w:val="24"/>
        </w:rPr>
        <w:t xml:space="preserve"> to</w:t>
      </w:r>
      <w:r w:rsidRPr="00F70C3C">
        <w:rPr>
          <w:rFonts w:ascii="Arial" w:hAnsi="Arial" w:cs="Arial"/>
          <w:sz w:val="24"/>
          <w:szCs w:val="24"/>
        </w:rPr>
        <w:t xml:space="preserve"> increase every year, apart from 2019.  The overall change is an increase of 18.04%, which equates to 7,103 young people, and compares to the national increase of 22.76%</w:t>
      </w:r>
    </w:p>
    <w:p w:rsidR="007B7CDF" w:rsidRPr="00F70C3C" w:rsidRDefault="007B7CDF" w:rsidP="007B7CDF">
      <w:pPr>
        <w:numPr>
          <w:ilvl w:val="1"/>
          <w:numId w:val="13"/>
        </w:numPr>
        <w:spacing w:after="0" w:line="240" w:lineRule="auto"/>
        <w:rPr>
          <w:rFonts w:ascii="Arial" w:hAnsi="Arial" w:cs="Arial"/>
          <w:sz w:val="24"/>
          <w:szCs w:val="24"/>
        </w:rPr>
      </w:pPr>
      <w:r w:rsidRPr="00F70C3C">
        <w:rPr>
          <w:rFonts w:ascii="Arial" w:hAnsi="Arial" w:cs="Arial"/>
          <w:sz w:val="24"/>
          <w:szCs w:val="24"/>
        </w:rPr>
        <w:t>The period 2019 to 2022 shows an increase of 6.85% in the 16-18 year old cohort, which equates to 2,699 young people</w:t>
      </w:r>
    </w:p>
    <w:p w:rsidR="007B7CDF" w:rsidRPr="00E7131C" w:rsidRDefault="007B7CDF" w:rsidP="007B7CDF">
      <w:pPr>
        <w:numPr>
          <w:ilvl w:val="0"/>
          <w:numId w:val="13"/>
        </w:numPr>
        <w:spacing w:after="0" w:line="240" w:lineRule="auto"/>
        <w:rPr>
          <w:rFonts w:ascii="Arial" w:hAnsi="Arial" w:cs="Arial"/>
          <w:sz w:val="24"/>
          <w:szCs w:val="24"/>
        </w:rPr>
      </w:pPr>
      <w:r w:rsidRPr="00F70C3C">
        <w:rPr>
          <w:rFonts w:ascii="Arial" w:hAnsi="Arial" w:cs="Arial"/>
          <w:sz w:val="24"/>
          <w:szCs w:val="24"/>
        </w:rPr>
        <w:t xml:space="preserve">Deprivation is a significant problem in parts of the county.  According to the English Index of Multiple Deprivation (IMD) 2015, five of the 12 districts in Lancashire fall within the top 100 most deprived areas out of 326 district and </w:t>
      </w:r>
      <w:r w:rsidRPr="00E7131C">
        <w:rPr>
          <w:rFonts w:ascii="Arial" w:hAnsi="Arial" w:cs="Arial"/>
          <w:sz w:val="24"/>
          <w:szCs w:val="24"/>
        </w:rPr>
        <w:t xml:space="preserve">unitary authorities </w:t>
      </w:r>
    </w:p>
    <w:p w:rsidR="007B7CDF" w:rsidRPr="00E7131C" w:rsidRDefault="007B7CDF" w:rsidP="007B7CDF">
      <w:pPr>
        <w:numPr>
          <w:ilvl w:val="0"/>
          <w:numId w:val="13"/>
        </w:numPr>
        <w:spacing w:after="0" w:line="240" w:lineRule="auto"/>
        <w:rPr>
          <w:rFonts w:ascii="Arial" w:hAnsi="Arial" w:cs="Arial"/>
          <w:sz w:val="24"/>
          <w:szCs w:val="24"/>
        </w:rPr>
      </w:pPr>
      <w:r w:rsidRPr="00E7131C">
        <w:rPr>
          <w:rFonts w:ascii="Arial" w:eastAsia="Times New Roman" w:hAnsi="Arial" w:cs="Arial"/>
          <w:sz w:val="24"/>
          <w:szCs w:val="24"/>
        </w:rPr>
        <w:t>The latest statistics from the Department for Education (</w:t>
      </w:r>
      <w:proofErr w:type="spellStart"/>
      <w:r w:rsidRPr="00E7131C">
        <w:rPr>
          <w:rFonts w:ascii="Arial" w:eastAsia="Times New Roman" w:hAnsi="Arial" w:cs="Arial"/>
          <w:sz w:val="24"/>
          <w:szCs w:val="24"/>
        </w:rPr>
        <w:t>DfE</w:t>
      </w:r>
      <w:proofErr w:type="spellEnd"/>
      <w:r w:rsidRPr="00E7131C">
        <w:rPr>
          <w:rFonts w:ascii="Arial" w:eastAsia="Times New Roman" w:hAnsi="Arial" w:cs="Arial"/>
          <w:sz w:val="24"/>
          <w:szCs w:val="24"/>
        </w:rPr>
        <w:t>) show that participation by Lancashire residents age</w:t>
      </w:r>
      <w:r w:rsidR="000B51BE">
        <w:rPr>
          <w:rFonts w:ascii="Arial" w:eastAsia="Times New Roman" w:hAnsi="Arial" w:cs="Arial"/>
          <w:sz w:val="24"/>
          <w:szCs w:val="24"/>
        </w:rPr>
        <w:t>d</w:t>
      </w:r>
      <w:r w:rsidRPr="00E7131C">
        <w:rPr>
          <w:rFonts w:ascii="Arial" w:eastAsia="Times New Roman" w:hAnsi="Arial" w:cs="Arial"/>
          <w:sz w:val="24"/>
          <w:szCs w:val="24"/>
        </w:rPr>
        <w:t xml:space="preserve"> 16 and 17 is at 89.2% as at March 2018, which is a reduction of 0.1% </w:t>
      </w:r>
      <w:r w:rsidR="000B51BE">
        <w:rPr>
          <w:rFonts w:ascii="Arial" w:eastAsia="Times New Roman" w:hAnsi="Arial" w:cs="Arial"/>
          <w:sz w:val="24"/>
          <w:szCs w:val="24"/>
        </w:rPr>
        <w:t xml:space="preserve">compared to </w:t>
      </w:r>
      <w:r w:rsidRPr="00E7131C">
        <w:rPr>
          <w:rFonts w:ascii="Arial" w:eastAsia="Times New Roman" w:hAnsi="Arial" w:cs="Arial"/>
          <w:sz w:val="24"/>
          <w:szCs w:val="24"/>
        </w:rPr>
        <w:t xml:space="preserve">March 2017.  </w:t>
      </w:r>
      <w:r w:rsidR="009911C5">
        <w:rPr>
          <w:rFonts w:ascii="Arial" w:hAnsi="Arial" w:cs="Arial"/>
          <w:sz w:val="24"/>
          <w:szCs w:val="24"/>
        </w:rPr>
        <w:t xml:space="preserve">This equates to 22,987 young people out of a cohort of 25,770.  </w:t>
      </w:r>
      <w:r w:rsidRPr="00E7131C">
        <w:rPr>
          <w:rFonts w:ascii="Arial" w:eastAsia="Times New Roman" w:hAnsi="Arial" w:cs="Arial"/>
          <w:sz w:val="24"/>
          <w:szCs w:val="24"/>
        </w:rPr>
        <w:t>The national position is 92.0%, which is also a reduction of 0.1%</w:t>
      </w:r>
    </w:p>
    <w:p w:rsidR="007B7CDF" w:rsidRPr="00E7131C" w:rsidRDefault="007B7CDF" w:rsidP="007B7CDF">
      <w:pPr>
        <w:numPr>
          <w:ilvl w:val="0"/>
          <w:numId w:val="13"/>
        </w:numPr>
        <w:spacing w:after="0" w:line="240" w:lineRule="auto"/>
        <w:ind w:left="714" w:hanging="357"/>
        <w:rPr>
          <w:rFonts w:ascii="Arial" w:eastAsia="Times New Roman" w:hAnsi="Arial" w:cs="Arial"/>
          <w:sz w:val="24"/>
          <w:szCs w:val="24"/>
        </w:rPr>
      </w:pPr>
      <w:r w:rsidRPr="00E7131C">
        <w:rPr>
          <w:rFonts w:ascii="Arial" w:eastAsia="Times New Roman" w:hAnsi="Arial" w:cs="Arial"/>
          <w:sz w:val="24"/>
          <w:szCs w:val="24"/>
        </w:rPr>
        <w:t>With regard to RPA and the duty to participate, the proportion of 16 and 17yr olds meeting this duty</w:t>
      </w:r>
      <w:r w:rsidR="005A592C">
        <w:rPr>
          <w:rFonts w:ascii="Arial" w:eastAsia="Times New Roman" w:hAnsi="Arial" w:cs="Arial"/>
          <w:sz w:val="24"/>
          <w:szCs w:val="24"/>
        </w:rPr>
        <w:t xml:space="preserve"> as at March 2018 </w:t>
      </w:r>
      <w:r w:rsidRPr="00E7131C">
        <w:rPr>
          <w:rFonts w:ascii="Arial" w:eastAsia="Times New Roman" w:hAnsi="Arial" w:cs="Arial"/>
          <w:sz w:val="24"/>
          <w:szCs w:val="24"/>
        </w:rPr>
        <w:t>is 89.2% in Lancashire</w:t>
      </w:r>
      <w:r>
        <w:rPr>
          <w:rFonts w:ascii="Arial" w:eastAsia="Times New Roman" w:hAnsi="Arial" w:cs="Arial"/>
          <w:sz w:val="24"/>
          <w:szCs w:val="24"/>
        </w:rPr>
        <w:t>, which is an increase of 0.1% compared to March 2017</w:t>
      </w:r>
      <w:r w:rsidRPr="00E7131C">
        <w:rPr>
          <w:rFonts w:ascii="Arial" w:eastAsia="Times New Roman" w:hAnsi="Arial" w:cs="Arial"/>
          <w:sz w:val="24"/>
          <w:szCs w:val="24"/>
        </w:rPr>
        <w:t>.  The national position is 92.1%</w:t>
      </w:r>
      <w:r>
        <w:rPr>
          <w:rFonts w:ascii="Arial" w:eastAsia="Times New Roman" w:hAnsi="Arial" w:cs="Arial"/>
          <w:sz w:val="24"/>
          <w:szCs w:val="24"/>
        </w:rPr>
        <w:t>, which is the same as March 2017</w:t>
      </w:r>
      <w:r w:rsidRPr="00E7131C">
        <w:rPr>
          <w:rFonts w:ascii="Arial" w:eastAsia="Times New Roman" w:hAnsi="Arial" w:cs="Arial"/>
          <w:sz w:val="24"/>
          <w:szCs w:val="24"/>
        </w:rPr>
        <w:t>.  Of those Lancashire residents not meeting the duty, 0.2% are in part time education</w:t>
      </w:r>
      <w:r w:rsidR="009911C5">
        <w:rPr>
          <w:rFonts w:ascii="Arial" w:eastAsia="Times New Roman" w:hAnsi="Arial" w:cs="Arial"/>
          <w:sz w:val="24"/>
          <w:szCs w:val="24"/>
        </w:rPr>
        <w:t xml:space="preserve"> (52 young people)</w:t>
      </w:r>
      <w:r w:rsidRPr="00E7131C">
        <w:rPr>
          <w:rFonts w:ascii="Arial" w:eastAsia="Times New Roman" w:hAnsi="Arial" w:cs="Arial"/>
          <w:sz w:val="24"/>
          <w:szCs w:val="24"/>
        </w:rPr>
        <w:t xml:space="preserve">, 1.4% are in employment without a regulated qualification </w:t>
      </w:r>
      <w:r w:rsidR="009911C5">
        <w:rPr>
          <w:rFonts w:ascii="Arial" w:eastAsia="Times New Roman" w:hAnsi="Arial" w:cs="Arial"/>
          <w:sz w:val="24"/>
          <w:szCs w:val="24"/>
        </w:rPr>
        <w:t xml:space="preserve">(361 young people) </w:t>
      </w:r>
      <w:r w:rsidRPr="00E7131C">
        <w:rPr>
          <w:rFonts w:ascii="Arial" w:eastAsia="Times New Roman" w:hAnsi="Arial" w:cs="Arial"/>
          <w:sz w:val="24"/>
          <w:szCs w:val="24"/>
        </w:rPr>
        <w:t>and 0.5% and taking a temporary break in learning</w:t>
      </w:r>
      <w:r w:rsidR="009911C5">
        <w:rPr>
          <w:rFonts w:ascii="Arial" w:eastAsia="Times New Roman" w:hAnsi="Arial" w:cs="Arial"/>
          <w:sz w:val="24"/>
          <w:szCs w:val="24"/>
        </w:rPr>
        <w:t xml:space="preserve"> (129 young people)</w:t>
      </w:r>
    </w:p>
    <w:p w:rsidR="007B7CDF" w:rsidRDefault="007B7CDF" w:rsidP="007B7CDF">
      <w:pPr>
        <w:pStyle w:val="ListParagraph"/>
        <w:numPr>
          <w:ilvl w:val="0"/>
          <w:numId w:val="13"/>
        </w:numPr>
        <w:spacing w:after="0" w:line="240" w:lineRule="auto"/>
        <w:rPr>
          <w:rFonts w:ascii="Arial" w:hAnsi="Arial" w:cs="Arial"/>
          <w:sz w:val="24"/>
          <w:szCs w:val="24"/>
        </w:rPr>
      </w:pPr>
      <w:r w:rsidRPr="00BF1977">
        <w:rPr>
          <w:rFonts w:ascii="Arial" w:hAnsi="Arial" w:cs="Arial"/>
          <w:sz w:val="24"/>
          <w:szCs w:val="24"/>
        </w:rPr>
        <w:t>The average figures for the period December 201</w:t>
      </w:r>
      <w:r w:rsidR="002959D5" w:rsidRPr="00BF1977">
        <w:rPr>
          <w:rFonts w:ascii="Arial" w:hAnsi="Arial" w:cs="Arial"/>
          <w:sz w:val="24"/>
          <w:szCs w:val="24"/>
        </w:rPr>
        <w:t>8</w:t>
      </w:r>
      <w:r w:rsidRPr="00BF1977">
        <w:rPr>
          <w:rFonts w:ascii="Arial" w:hAnsi="Arial" w:cs="Arial"/>
          <w:sz w:val="24"/>
          <w:szCs w:val="24"/>
        </w:rPr>
        <w:t xml:space="preserve"> to February 201</w:t>
      </w:r>
      <w:r w:rsidR="002959D5" w:rsidRPr="00BF1977">
        <w:rPr>
          <w:rFonts w:ascii="Arial" w:hAnsi="Arial" w:cs="Arial"/>
          <w:sz w:val="24"/>
          <w:szCs w:val="24"/>
        </w:rPr>
        <w:t>9</w:t>
      </w:r>
      <w:r w:rsidRPr="00BF1977">
        <w:rPr>
          <w:rFonts w:ascii="Arial" w:hAnsi="Arial" w:cs="Arial"/>
          <w:sz w:val="24"/>
          <w:szCs w:val="24"/>
        </w:rPr>
        <w:t xml:space="preserve"> show that </w:t>
      </w:r>
      <w:r w:rsidR="00BF1977" w:rsidRPr="00BF1977">
        <w:rPr>
          <w:rFonts w:ascii="Arial" w:hAnsi="Arial" w:cs="Arial"/>
          <w:sz w:val="24"/>
          <w:szCs w:val="24"/>
        </w:rPr>
        <w:t>519</w:t>
      </w:r>
      <w:r w:rsidRPr="00BF1977">
        <w:rPr>
          <w:rFonts w:ascii="Arial" w:hAnsi="Arial" w:cs="Arial"/>
          <w:sz w:val="24"/>
          <w:szCs w:val="24"/>
        </w:rPr>
        <w:t xml:space="preserve"> young people aged 16 and 17 were not in education, employment or training (NEET) and this amounted to </w:t>
      </w:r>
      <w:r w:rsidR="00BF1977" w:rsidRPr="00BF1977">
        <w:rPr>
          <w:rFonts w:ascii="Arial" w:hAnsi="Arial" w:cs="Arial"/>
          <w:sz w:val="24"/>
          <w:szCs w:val="24"/>
        </w:rPr>
        <w:t>2.1</w:t>
      </w:r>
      <w:r w:rsidRPr="00BF1977">
        <w:rPr>
          <w:rFonts w:ascii="Arial" w:hAnsi="Arial" w:cs="Arial"/>
          <w:sz w:val="24"/>
          <w:szCs w:val="24"/>
        </w:rPr>
        <w:t xml:space="preserve">% of the total cohort.  In addition, </w:t>
      </w:r>
      <w:r w:rsidR="00BF1977" w:rsidRPr="00BF1977">
        <w:rPr>
          <w:rFonts w:ascii="Arial" w:hAnsi="Arial" w:cs="Arial"/>
          <w:sz w:val="24"/>
          <w:szCs w:val="24"/>
        </w:rPr>
        <w:t>2,107</w:t>
      </w:r>
      <w:r w:rsidRPr="00BF1977">
        <w:rPr>
          <w:rFonts w:ascii="Arial" w:hAnsi="Arial" w:cs="Arial"/>
          <w:sz w:val="24"/>
          <w:szCs w:val="24"/>
        </w:rPr>
        <w:t xml:space="preserve"> young people aged 16 and 17 were classed as not known and this amounted to </w:t>
      </w:r>
      <w:r w:rsidR="00BF1977" w:rsidRPr="00BF1977">
        <w:rPr>
          <w:rFonts w:ascii="Arial" w:hAnsi="Arial" w:cs="Arial"/>
          <w:sz w:val="24"/>
          <w:szCs w:val="24"/>
        </w:rPr>
        <w:t>8.0</w:t>
      </w:r>
      <w:r w:rsidRPr="00BF1977">
        <w:rPr>
          <w:rFonts w:ascii="Arial" w:hAnsi="Arial" w:cs="Arial"/>
          <w:sz w:val="24"/>
          <w:szCs w:val="24"/>
        </w:rPr>
        <w:t xml:space="preserve">%.  The combined NEET and not known percentage for this period was </w:t>
      </w:r>
      <w:r w:rsidR="00BF1977" w:rsidRPr="00BF1977">
        <w:rPr>
          <w:rFonts w:ascii="Arial" w:hAnsi="Arial" w:cs="Arial"/>
          <w:sz w:val="24"/>
          <w:szCs w:val="24"/>
        </w:rPr>
        <w:t>10.1</w:t>
      </w:r>
      <w:r w:rsidRPr="00BF1977">
        <w:rPr>
          <w:rFonts w:ascii="Arial" w:hAnsi="Arial" w:cs="Arial"/>
          <w:sz w:val="24"/>
          <w:szCs w:val="24"/>
        </w:rPr>
        <w:t>%</w:t>
      </w:r>
    </w:p>
    <w:p w:rsidR="00244EFB" w:rsidRPr="00BF1977" w:rsidRDefault="00B9434B" w:rsidP="007B7CDF">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Based on NOMIS statistics, the qualification levels held by the working age population in Lancashire are as follows </w:t>
      </w:r>
      <w:r w:rsidRPr="00603A3B">
        <w:rPr>
          <w:rFonts w:ascii="Arial" w:hAnsi="Arial" w:cs="Arial"/>
          <w:sz w:val="24"/>
          <w:szCs w:val="24"/>
        </w:rPr>
        <w:t>(national figures in brackets)</w:t>
      </w:r>
      <w:r>
        <w:rPr>
          <w:rFonts w:ascii="Arial" w:hAnsi="Arial" w:cs="Arial"/>
          <w:sz w:val="24"/>
          <w:szCs w:val="24"/>
        </w:rPr>
        <w:t>: 33.2% (38.6%) at NVQ 4 and above; 54.3% (57.2%) at NVQ 3 and above; 75.9% (74.7%) at NVQ 2 and above; 87.6% (85.4%) at NVQ 1 and above; 5.7% (6.9%) with other qualifications; and 6.7% (7.7%) with no qualifications</w:t>
      </w:r>
    </w:p>
    <w:p w:rsidR="007B7CDF" w:rsidRPr="00BF1977" w:rsidRDefault="007B7CDF" w:rsidP="007B7CDF">
      <w:pPr>
        <w:spacing w:after="0" w:line="240" w:lineRule="auto"/>
        <w:rPr>
          <w:rFonts w:ascii="Arial" w:hAnsi="Arial" w:cs="Arial"/>
          <w:sz w:val="24"/>
          <w:szCs w:val="24"/>
        </w:rPr>
      </w:pPr>
    </w:p>
    <w:tbl>
      <w:tblPr>
        <w:tblStyle w:val="TableGrid"/>
        <w:tblW w:w="0" w:type="auto"/>
        <w:shd w:val="clear" w:color="auto" w:fill="0058DA"/>
        <w:tblLook w:val="04A0" w:firstRow="1" w:lastRow="0" w:firstColumn="1" w:lastColumn="0" w:noHBand="0" w:noVBand="1"/>
      </w:tblPr>
      <w:tblGrid>
        <w:gridCol w:w="9016"/>
      </w:tblGrid>
      <w:tr w:rsidR="007B7CDF" w:rsidRPr="006D7A22" w:rsidTr="005A49A9">
        <w:tc>
          <w:tcPr>
            <w:tcW w:w="9016" w:type="dxa"/>
            <w:tcBorders>
              <w:top w:val="nil"/>
              <w:left w:val="nil"/>
              <w:bottom w:val="nil"/>
              <w:right w:val="nil"/>
            </w:tcBorders>
            <w:shd w:val="clear" w:color="auto" w:fill="00ACE9"/>
          </w:tcPr>
          <w:p w:rsidR="007B7CDF" w:rsidRPr="006D7A22" w:rsidRDefault="007B7CDF" w:rsidP="005A49A9">
            <w:pPr>
              <w:jc w:val="center"/>
              <w:rPr>
                <w:rFonts w:ascii="Arial" w:hAnsi="Arial" w:cs="Arial"/>
                <w:color w:val="FFFFFF" w:themeColor="background1"/>
                <w:sz w:val="24"/>
                <w:szCs w:val="24"/>
              </w:rPr>
            </w:pPr>
            <w:r w:rsidRPr="008E2ACA">
              <w:rPr>
                <w:rFonts w:ascii="Arial" w:hAnsi="Arial" w:cs="Arial"/>
                <w:b/>
                <w:color w:val="FFFFFF" w:themeColor="background1"/>
                <w:sz w:val="24"/>
                <w:szCs w:val="24"/>
              </w:rPr>
              <w:t>2017/18 Key Stage 4 Performance</w:t>
            </w:r>
          </w:p>
        </w:tc>
      </w:tr>
    </w:tbl>
    <w:p w:rsidR="00467DDF" w:rsidRDefault="00467DDF" w:rsidP="007B7CDF">
      <w:pPr>
        <w:pStyle w:val="Default"/>
        <w:rPr>
          <w:rStyle w:val="y0nh2b"/>
          <w:bCs/>
          <w:color w:val="222222"/>
        </w:rPr>
      </w:pPr>
    </w:p>
    <w:p w:rsidR="007B7CDF" w:rsidRDefault="007B7CDF" w:rsidP="007B7CDF">
      <w:pPr>
        <w:pStyle w:val="Default"/>
        <w:rPr>
          <w:rStyle w:val="y0nh2b"/>
          <w:color w:val="222222"/>
        </w:rPr>
      </w:pPr>
      <w:r>
        <w:rPr>
          <w:rStyle w:val="y0nh2b"/>
          <w:bCs/>
          <w:color w:val="222222"/>
        </w:rPr>
        <w:t>Attainment 8 and Progress 8</w:t>
      </w:r>
      <w:r>
        <w:rPr>
          <w:rStyle w:val="y0nh2b"/>
          <w:color w:val="222222"/>
        </w:rPr>
        <w:t xml:space="preserve"> are the two key measures that schools are judged against.  </w:t>
      </w:r>
      <w:r>
        <w:rPr>
          <w:color w:val="auto"/>
        </w:rPr>
        <w:t xml:space="preserve">Attainment 8 shows how well pupils have performed in </w:t>
      </w:r>
      <w:r>
        <w:rPr>
          <w:rStyle w:val="y0nh2b"/>
          <w:color w:val="222222"/>
        </w:rPr>
        <w:t xml:space="preserve">their eight best subjects at GCSE and </w:t>
      </w:r>
      <w:r>
        <w:rPr>
          <w:color w:val="auto"/>
        </w:rPr>
        <w:t>Progress 8 shows how much progress pupils made between the end of KS2 and the end of KS4.</w:t>
      </w:r>
    </w:p>
    <w:p w:rsidR="00A02D37" w:rsidRDefault="00A02D37">
      <w:pPr>
        <w:rPr>
          <w:rFonts w:ascii="Arial" w:hAnsi="Arial" w:cs="Arial"/>
          <w:sz w:val="24"/>
          <w:szCs w:val="24"/>
        </w:rPr>
      </w:pPr>
      <w:r>
        <w:rPr>
          <w:rFonts w:ascii="Arial" w:hAnsi="Arial" w:cs="Arial"/>
          <w:sz w:val="24"/>
          <w:szCs w:val="24"/>
        </w:rPr>
        <w:br w:type="page"/>
      </w:r>
    </w:p>
    <w:p w:rsidR="007B7CDF" w:rsidRDefault="007B7CDF" w:rsidP="007B7CDF">
      <w:pPr>
        <w:spacing w:after="0" w:line="240" w:lineRule="auto"/>
        <w:rPr>
          <w:rFonts w:ascii="Arial" w:hAnsi="Arial" w:cs="Arial"/>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2364"/>
        <w:gridCol w:w="1470"/>
        <w:gridCol w:w="1223"/>
        <w:gridCol w:w="1559"/>
        <w:gridCol w:w="1559"/>
      </w:tblGrid>
      <w:tr w:rsidR="00727704" w:rsidTr="00727704">
        <w:tc>
          <w:tcPr>
            <w:tcW w:w="897" w:type="dxa"/>
            <w:vMerge w:val="restart"/>
            <w:shd w:val="clear" w:color="auto" w:fill="00ACE9"/>
          </w:tcPr>
          <w:p w:rsidR="00727704" w:rsidRPr="00E5532D" w:rsidRDefault="00727704" w:rsidP="005A49A9">
            <w:pPr>
              <w:spacing w:line="259" w:lineRule="auto"/>
              <w:jc w:val="center"/>
              <w:rPr>
                <w:rFonts w:ascii="Arial" w:hAnsi="Arial" w:cs="Arial"/>
                <w:b/>
                <w:sz w:val="24"/>
                <w:szCs w:val="24"/>
              </w:rPr>
            </w:pPr>
          </w:p>
        </w:tc>
        <w:tc>
          <w:tcPr>
            <w:tcW w:w="2364" w:type="dxa"/>
            <w:shd w:val="clear" w:color="auto" w:fill="00ACE9"/>
          </w:tcPr>
          <w:p w:rsidR="00727704" w:rsidRPr="008E2ACA" w:rsidRDefault="00727704" w:rsidP="005A49A9">
            <w:pPr>
              <w:jc w:val="center"/>
              <w:rPr>
                <w:rFonts w:ascii="Arial" w:hAnsi="Arial" w:cs="Arial"/>
                <w:b/>
                <w:color w:val="FFFFFF" w:themeColor="background1"/>
                <w:sz w:val="24"/>
                <w:szCs w:val="24"/>
              </w:rPr>
            </w:pPr>
          </w:p>
        </w:tc>
        <w:tc>
          <w:tcPr>
            <w:tcW w:w="1470" w:type="dxa"/>
            <w:vMerge w:val="restart"/>
            <w:shd w:val="clear" w:color="auto" w:fill="00ACE9"/>
          </w:tcPr>
          <w:p w:rsidR="00727704" w:rsidRPr="008E2ACA" w:rsidRDefault="00727704" w:rsidP="005A49A9">
            <w:pPr>
              <w:spacing w:line="259" w:lineRule="auto"/>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Average Attainment 8 Score</w:t>
            </w:r>
          </w:p>
        </w:tc>
        <w:tc>
          <w:tcPr>
            <w:tcW w:w="4341" w:type="dxa"/>
            <w:gridSpan w:val="3"/>
            <w:shd w:val="clear" w:color="auto" w:fill="00ACE9"/>
          </w:tcPr>
          <w:p w:rsidR="00727704" w:rsidRPr="008E2ACA" w:rsidRDefault="00727704" w:rsidP="005A49A9">
            <w:pPr>
              <w:spacing w:line="259" w:lineRule="auto"/>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Progress 8</w:t>
            </w:r>
          </w:p>
        </w:tc>
      </w:tr>
      <w:tr w:rsidR="00727704" w:rsidTr="00727704">
        <w:tc>
          <w:tcPr>
            <w:tcW w:w="897" w:type="dxa"/>
            <w:vMerge/>
            <w:shd w:val="clear" w:color="auto" w:fill="00ACE9"/>
          </w:tcPr>
          <w:p w:rsidR="00727704" w:rsidRPr="00E5532D" w:rsidRDefault="00727704" w:rsidP="005A49A9">
            <w:pPr>
              <w:spacing w:line="259" w:lineRule="auto"/>
              <w:jc w:val="center"/>
              <w:rPr>
                <w:rFonts w:ascii="Arial" w:hAnsi="Arial" w:cs="Arial"/>
                <w:b/>
                <w:sz w:val="24"/>
                <w:szCs w:val="24"/>
              </w:rPr>
            </w:pPr>
          </w:p>
        </w:tc>
        <w:tc>
          <w:tcPr>
            <w:tcW w:w="2364" w:type="dxa"/>
            <w:shd w:val="clear" w:color="auto" w:fill="00ACE9"/>
          </w:tcPr>
          <w:p w:rsidR="00727704" w:rsidRPr="008E2ACA" w:rsidRDefault="00727704" w:rsidP="005A49A9">
            <w:pPr>
              <w:jc w:val="center"/>
              <w:rPr>
                <w:rFonts w:ascii="Arial" w:hAnsi="Arial" w:cs="Arial"/>
                <w:b/>
                <w:color w:val="FFFFFF" w:themeColor="background1"/>
                <w:sz w:val="24"/>
                <w:szCs w:val="24"/>
              </w:rPr>
            </w:pPr>
          </w:p>
        </w:tc>
        <w:tc>
          <w:tcPr>
            <w:tcW w:w="1470" w:type="dxa"/>
            <w:vMerge/>
            <w:shd w:val="clear" w:color="auto" w:fill="00ACE9"/>
          </w:tcPr>
          <w:p w:rsidR="00727704" w:rsidRPr="008E2ACA" w:rsidRDefault="00727704" w:rsidP="005A49A9">
            <w:pPr>
              <w:spacing w:line="259" w:lineRule="auto"/>
              <w:jc w:val="center"/>
              <w:rPr>
                <w:rFonts w:ascii="Arial" w:hAnsi="Arial" w:cs="Arial"/>
                <w:b/>
                <w:color w:val="FFFFFF" w:themeColor="background1"/>
                <w:sz w:val="24"/>
                <w:szCs w:val="24"/>
              </w:rPr>
            </w:pPr>
          </w:p>
        </w:tc>
        <w:tc>
          <w:tcPr>
            <w:tcW w:w="1223" w:type="dxa"/>
            <w:shd w:val="clear" w:color="auto" w:fill="00ACE9"/>
          </w:tcPr>
          <w:p w:rsidR="00727704" w:rsidRPr="008E2ACA" w:rsidRDefault="00727704" w:rsidP="005A49A9">
            <w:pPr>
              <w:spacing w:line="259" w:lineRule="auto"/>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Average Score</w:t>
            </w:r>
          </w:p>
        </w:tc>
        <w:tc>
          <w:tcPr>
            <w:tcW w:w="1559" w:type="dxa"/>
            <w:shd w:val="clear" w:color="auto" w:fill="00ACE9"/>
          </w:tcPr>
          <w:p w:rsidR="00727704" w:rsidRPr="008E2ACA" w:rsidRDefault="00727704" w:rsidP="005A49A9">
            <w:pPr>
              <w:spacing w:line="259" w:lineRule="auto"/>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Lower Confidence Interval</w:t>
            </w:r>
          </w:p>
        </w:tc>
        <w:tc>
          <w:tcPr>
            <w:tcW w:w="1559" w:type="dxa"/>
            <w:shd w:val="clear" w:color="auto" w:fill="00ACE9"/>
          </w:tcPr>
          <w:p w:rsidR="00727704" w:rsidRPr="008E2ACA" w:rsidRDefault="00727704" w:rsidP="005A49A9">
            <w:pPr>
              <w:spacing w:line="259" w:lineRule="auto"/>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Upper Confidence Interval</w:t>
            </w:r>
          </w:p>
        </w:tc>
      </w:tr>
      <w:tr w:rsidR="00126392" w:rsidRPr="00126392" w:rsidTr="009D7BDB">
        <w:tc>
          <w:tcPr>
            <w:tcW w:w="3261" w:type="dxa"/>
            <w:gridSpan w:val="2"/>
            <w:shd w:val="clear" w:color="auto" w:fill="575756"/>
          </w:tcPr>
          <w:p w:rsidR="00727704" w:rsidRPr="00126392" w:rsidRDefault="00727704" w:rsidP="005A49A9">
            <w:pPr>
              <w:jc w:val="center"/>
              <w:rPr>
                <w:rFonts w:ascii="Arial" w:hAnsi="Arial" w:cs="Arial"/>
                <w:b/>
                <w:color w:val="FFFFFF" w:themeColor="background1"/>
                <w:sz w:val="24"/>
                <w:szCs w:val="24"/>
              </w:rPr>
            </w:pPr>
            <w:r w:rsidRPr="00126392">
              <w:rPr>
                <w:rFonts w:ascii="Arial" w:hAnsi="Arial" w:cs="Arial"/>
                <w:b/>
                <w:color w:val="FFFFFF" w:themeColor="background1"/>
                <w:sz w:val="24"/>
                <w:szCs w:val="24"/>
              </w:rPr>
              <w:t>Lancashire Residents</w:t>
            </w:r>
          </w:p>
        </w:tc>
        <w:tc>
          <w:tcPr>
            <w:tcW w:w="1470" w:type="dxa"/>
            <w:shd w:val="clear" w:color="auto" w:fill="575756"/>
          </w:tcPr>
          <w:p w:rsidR="00727704" w:rsidRPr="00126392" w:rsidRDefault="00727704" w:rsidP="005A49A9">
            <w:pPr>
              <w:spacing w:line="259" w:lineRule="auto"/>
              <w:jc w:val="center"/>
              <w:rPr>
                <w:rFonts w:ascii="Arial" w:hAnsi="Arial" w:cs="Arial"/>
                <w:color w:val="FFFFFF" w:themeColor="background1"/>
                <w:sz w:val="24"/>
                <w:szCs w:val="24"/>
              </w:rPr>
            </w:pPr>
            <w:r w:rsidRPr="00126392">
              <w:rPr>
                <w:rFonts w:ascii="Arial" w:hAnsi="Arial" w:cs="Arial"/>
                <w:color w:val="FFFFFF" w:themeColor="background1"/>
                <w:sz w:val="24"/>
                <w:szCs w:val="24"/>
              </w:rPr>
              <w:t>46.7</w:t>
            </w:r>
          </w:p>
        </w:tc>
        <w:tc>
          <w:tcPr>
            <w:tcW w:w="1223" w:type="dxa"/>
            <w:shd w:val="clear" w:color="auto" w:fill="575756"/>
          </w:tcPr>
          <w:p w:rsidR="00727704" w:rsidRPr="00126392" w:rsidRDefault="00727704" w:rsidP="005A49A9">
            <w:pPr>
              <w:spacing w:line="259" w:lineRule="auto"/>
              <w:jc w:val="center"/>
              <w:rPr>
                <w:rFonts w:ascii="Arial" w:hAnsi="Arial" w:cs="Arial"/>
                <w:color w:val="FFFFFF" w:themeColor="background1"/>
                <w:sz w:val="24"/>
                <w:szCs w:val="24"/>
              </w:rPr>
            </w:pPr>
            <w:r w:rsidRPr="00126392">
              <w:rPr>
                <w:rFonts w:ascii="Arial" w:hAnsi="Arial" w:cs="Arial"/>
                <w:color w:val="FFFFFF" w:themeColor="background1"/>
                <w:sz w:val="24"/>
                <w:szCs w:val="24"/>
              </w:rPr>
              <w:t>-0.09</w:t>
            </w:r>
          </w:p>
        </w:tc>
        <w:tc>
          <w:tcPr>
            <w:tcW w:w="1559" w:type="dxa"/>
            <w:shd w:val="clear" w:color="auto" w:fill="575756"/>
          </w:tcPr>
          <w:p w:rsidR="00727704" w:rsidRPr="00126392" w:rsidRDefault="00727704" w:rsidP="005A49A9">
            <w:pPr>
              <w:spacing w:line="259" w:lineRule="auto"/>
              <w:jc w:val="center"/>
              <w:rPr>
                <w:rFonts w:ascii="Arial" w:hAnsi="Arial" w:cs="Arial"/>
                <w:color w:val="FFFFFF" w:themeColor="background1"/>
                <w:sz w:val="24"/>
                <w:szCs w:val="24"/>
              </w:rPr>
            </w:pPr>
            <w:r w:rsidRPr="00126392">
              <w:rPr>
                <w:rFonts w:ascii="Arial" w:hAnsi="Arial" w:cs="Arial"/>
                <w:color w:val="FFFFFF" w:themeColor="background1"/>
                <w:sz w:val="24"/>
                <w:szCs w:val="24"/>
              </w:rPr>
              <w:t>-0.11</w:t>
            </w:r>
          </w:p>
        </w:tc>
        <w:tc>
          <w:tcPr>
            <w:tcW w:w="1559" w:type="dxa"/>
            <w:shd w:val="clear" w:color="auto" w:fill="575756"/>
          </w:tcPr>
          <w:p w:rsidR="00727704" w:rsidRPr="00126392" w:rsidRDefault="00727704" w:rsidP="00467DDF">
            <w:pPr>
              <w:spacing w:line="259" w:lineRule="auto"/>
              <w:jc w:val="center"/>
              <w:rPr>
                <w:rFonts w:ascii="Arial" w:hAnsi="Arial" w:cs="Arial"/>
                <w:color w:val="FFFFFF" w:themeColor="background1"/>
                <w:sz w:val="24"/>
                <w:szCs w:val="24"/>
              </w:rPr>
            </w:pPr>
            <w:r w:rsidRPr="00126392">
              <w:rPr>
                <w:rFonts w:ascii="Arial" w:hAnsi="Arial" w:cs="Arial"/>
                <w:color w:val="FFFFFF" w:themeColor="background1"/>
                <w:sz w:val="24"/>
                <w:szCs w:val="24"/>
              </w:rPr>
              <w:t>-0.06</w:t>
            </w:r>
          </w:p>
        </w:tc>
      </w:tr>
      <w:tr w:rsidR="00126392" w:rsidRPr="00126392" w:rsidTr="00126392">
        <w:tc>
          <w:tcPr>
            <w:tcW w:w="897" w:type="dxa"/>
            <w:vMerge w:val="restart"/>
            <w:shd w:val="clear" w:color="auto" w:fill="575756"/>
          </w:tcPr>
          <w:p w:rsidR="00B92CA6" w:rsidRPr="00126392" w:rsidRDefault="00B92CA6" w:rsidP="00727704">
            <w:pPr>
              <w:rPr>
                <w:rFonts w:ascii="Arial" w:hAnsi="Arial" w:cs="Arial"/>
                <w:color w:val="FFFFFF" w:themeColor="background1"/>
                <w:sz w:val="24"/>
                <w:szCs w:val="24"/>
              </w:rPr>
            </w:pPr>
            <w:r w:rsidRPr="00126392">
              <w:rPr>
                <w:rFonts w:ascii="Arial" w:hAnsi="Arial" w:cs="Arial"/>
                <w:color w:val="FFFFFF" w:themeColor="background1"/>
                <w:sz w:val="24"/>
                <w:szCs w:val="24"/>
              </w:rPr>
              <w:t xml:space="preserve">Of which: </w:t>
            </w:r>
          </w:p>
        </w:tc>
        <w:tc>
          <w:tcPr>
            <w:tcW w:w="2364" w:type="dxa"/>
            <w:shd w:val="clear" w:color="auto" w:fill="575756"/>
          </w:tcPr>
          <w:p w:rsidR="00B92CA6" w:rsidRPr="00126392" w:rsidRDefault="00B92CA6" w:rsidP="009D7BDB">
            <w:pPr>
              <w:rPr>
                <w:rFonts w:ascii="Arial" w:hAnsi="Arial" w:cs="Arial"/>
                <w:color w:val="FFFFFF" w:themeColor="background1"/>
                <w:sz w:val="24"/>
                <w:szCs w:val="24"/>
              </w:rPr>
            </w:pPr>
            <w:r w:rsidRPr="00126392">
              <w:rPr>
                <w:rFonts w:ascii="Arial" w:hAnsi="Arial" w:cs="Arial"/>
                <w:color w:val="FFFFFF" w:themeColor="background1"/>
                <w:sz w:val="24"/>
                <w:szCs w:val="24"/>
              </w:rPr>
              <w:t>Children Looked After</w:t>
            </w:r>
          </w:p>
        </w:tc>
        <w:tc>
          <w:tcPr>
            <w:tcW w:w="1470" w:type="dxa"/>
            <w:shd w:val="clear" w:color="auto" w:fill="575756"/>
          </w:tcPr>
          <w:p w:rsidR="00B92CA6" w:rsidRPr="00126392" w:rsidRDefault="00B92CA6" w:rsidP="00823EA7">
            <w:pPr>
              <w:jc w:val="center"/>
              <w:rPr>
                <w:rFonts w:ascii="Arial" w:hAnsi="Arial" w:cs="Arial"/>
                <w:color w:val="FFFFFF" w:themeColor="background1"/>
                <w:sz w:val="24"/>
                <w:szCs w:val="24"/>
              </w:rPr>
            </w:pPr>
            <w:r w:rsidRPr="00126392">
              <w:rPr>
                <w:rFonts w:ascii="Arial" w:hAnsi="Arial" w:cs="Arial"/>
                <w:color w:val="FFFFFF" w:themeColor="background1"/>
                <w:sz w:val="24"/>
                <w:szCs w:val="24"/>
              </w:rPr>
              <w:t>18.2</w:t>
            </w:r>
          </w:p>
        </w:tc>
        <w:tc>
          <w:tcPr>
            <w:tcW w:w="1223" w:type="dxa"/>
            <w:shd w:val="clear" w:color="auto" w:fill="575756"/>
          </w:tcPr>
          <w:p w:rsidR="00B92CA6" w:rsidRPr="00126392" w:rsidRDefault="00B92CA6" w:rsidP="00823EA7">
            <w:pPr>
              <w:jc w:val="center"/>
              <w:rPr>
                <w:rFonts w:ascii="Arial" w:hAnsi="Arial" w:cs="Arial"/>
                <w:color w:val="FFFFFF" w:themeColor="background1"/>
                <w:sz w:val="24"/>
                <w:szCs w:val="24"/>
              </w:rPr>
            </w:pPr>
            <w:r w:rsidRPr="00126392">
              <w:rPr>
                <w:rFonts w:ascii="Arial" w:hAnsi="Arial" w:cs="Arial"/>
                <w:color w:val="FFFFFF" w:themeColor="background1"/>
                <w:sz w:val="24"/>
                <w:szCs w:val="24"/>
              </w:rPr>
              <w:t>-1.32</w:t>
            </w:r>
          </w:p>
        </w:tc>
        <w:tc>
          <w:tcPr>
            <w:tcW w:w="3118" w:type="dxa"/>
            <w:gridSpan w:val="2"/>
            <w:shd w:val="clear" w:color="auto" w:fill="575756"/>
          </w:tcPr>
          <w:p w:rsidR="00B92CA6" w:rsidRPr="00126392" w:rsidRDefault="00B92CA6" w:rsidP="00727704">
            <w:pPr>
              <w:jc w:val="center"/>
              <w:rPr>
                <w:rFonts w:ascii="Arial" w:hAnsi="Arial" w:cs="Arial"/>
                <w:color w:val="FFFFFF" w:themeColor="background1"/>
                <w:sz w:val="24"/>
                <w:szCs w:val="24"/>
              </w:rPr>
            </w:pPr>
            <w:r w:rsidRPr="00126392">
              <w:rPr>
                <w:rFonts w:ascii="Arial" w:hAnsi="Arial" w:cs="Arial"/>
                <w:color w:val="FFFFFF" w:themeColor="background1"/>
                <w:sz w:val="24"/>
                <w:szCs w:val="24"/>
              </w:rPr>
              <w:t>Confidence intervals not available</w:t>
            </w:r>
          </w:p>
        </w:tc>
      </w:tr>
      <w:tr w:rsidR="009D7BDB" w:rsidRPr="009D7BDB" w:rsidTr="009D7BDB">
        <w:tc>
          <w:tcPr>
            <w:tcW w:w="897" w:type="dxa"/>
            <w:vMerge/>
            <w:shd w:val="clear" w:color="auto" w:fill="575756"/>
          </w:tcPr>
          <w:p w:rsidR="009D7BDB" w:rsidRPr="009D7BDB" w:rsidRDefault="009D7BDB" w:rsidP="00727704">
            <w:pPr>
              <w:rPr>
                <w:rFonts w:ascii="Arial" w:hAnsi="Arial" w:cs="Arial"/>
                <w:color w:val="FFFFFF" w:themeColor="background1"/>
                <w:sz w:val="24"/>
                <w:szCs w:val="24"/>
              </w:rPr>
            </w:pPr>
          </w:p>
        </w:tc>
        <w:tc>
          <w:tcPr>
            <w:tcW w:w="2364" w:type="dxa"/>
            <w:shd w:val="clear" w:color="auto" w:fill="575756"/>
          </w:tcPr>
          <w:p w:rsidR="009D7BDB" w:rsidRPr="009D7BDB" w:rsidRDefault="009D7BDB" w:rsidP="009D7BDB">
            <w:pPr>
              <w:rPr>
                <w:rFonts w:ascii="Arial" w:hAnsi="Arial" w:cs="Arial"/>
                <w:color w:val="FFFFFF" w:themeColor="background1"/>
                <w:sz w:val="24"/>
                <w:szCs w:val="24"/>
              </w:rPr>
            </w:pPr>
            <w:r w:rsidRPr="009D7BDB">
              <w:rPr>
                <w:rFonts w:ascii="Arial" w:hAnsi="Arial" w:cs="Arial"/>
                <w:color w:val="FFFFFF" w:themeColor="background1"/>
                <w:sz w:val="24"/>
                <w:szCs w:val="24"/>
              </w:rPr>
              <w:t>SEN Pupils with Statement or EHCP</w:t>
            </w:r>
          </w:p>
        </w:tc>
        <w:tc>
          <w:tcPr>
            <w:tcW w:w="1470" w:type="dxa"/>
            <w:shd w:val="clear" w:color="auto" w:fill="575756"/>
          </w:tcPr>
          <w:p w:rsidR="009D7BDB" w:rsidRPr="009D7BDB" w:rsidRDefault="009D7BDB" w:rsidP="00727704">
            <w:pPr>
              <w:jc w:val="center"/>
              <w:rPr>
                <w:rFonts w:ascii="Arial" w:hAnsi="Arial" w:cs="Arial"/>
                <w:color w:val="FFFFFF" w:themeColor="background1"/>
                <w:sz w:val="24"/>
                <w:szCs w:val="24"/>
              </w:rPr>
            </w:pPr>
            <w:r w:rsidRPr="009D7BDB">
              <w:rPr>
                <w:rFonts w:ascii="Arial" w:hAnsi="Arial" w:cs="Arial"/>
                <w:color w:val="FFFFFF" w:themeColor="background1"/>
                <w:sz w:val="24"/>
                <w:szCs w:val="24"/>
              </w:rPr>
              <w:t>12.9</w:t>
            </w:r>
          </w:p>
        </w:tc>
        <w:tc>
          <w:tcPr>
            <w:tcW w:w="1223" w:type="dxa"/>
            <w:shd w:val="clear" w:color="auto" w:fill="575756"/>
          </w:tcPr>
          <w:p w:rsidR="009D7BDB" w:rsidRPr="009D7BDB" w:rsidRDefault="009D7BDB" w:rsidP="00727704">
            <w:pPr>
              <w:jc w:val="center"/>
              <w:rPr>
                <w:rFonts w:ascii="Arial" w:hAnsi="Arial" w:cs="Arial"/>
                <w:color w:val="FFFFFF" w:themeColor="background1"/>
                <w:sz w:val="24"/>
                <w:szCs w:val="24"/>
              </w:rPr>
            </w:pPr>
            <w:r w:rsidRPr="009D7BDB">
              <w:rPr>
                <w:rFonts w:ascii="Arial" w:hAnsi="Arial" w:cs="Arial"/>
                <w:color w:val="FFFFFF" w:themeColor="background1"/>
                <w:sz w:val="24"/>
                <w:szCs w:val="24"/>
              </w:rPr>
              <w:t>-1.3</w:t>
            </w:r>
          </w:p>
        </w:tc>
        <w:tc>
          <w:tcPr>
            <w:tcW w:w="1559" w:type="dxa"/>
            <w:shd w:val="clear" w:color="auto" w:fill="575756"/>
          </w:tcPr>
          <w:p w:rsidR="009D7BDB" w:rsidRPr="009D7BDB" w:rsidRDefault="009D7BDB" w:rsidP="00727704">
            <w:pPr>
              <w:jc w:val="center"/>
              <w:rPr>
                <w:rFonts w:ascii="Arial" w:hAnsi="Arial" w:cs="Arial"/>
                <w:color w:val="FFFFFF" w:themeColor="background1"/>
                <w:sz w:val="24"/>
                <w:szCs w:val="24"/>
              </w:rPr>
            </w:pPr>
            <w:r w:rsidRPr="009D7BDB">
              <w:rPr>
                <w:rFonts w:ascii="Arial" w:hAnsi="Arial" w:cs="Arial"/>
                <w:color w:val="FFFFFF" w:themeColor="background1"/>
                <w:sz w:val="24"/>
                <w:szCs w:val="24"/>
              </w:rPr>
              <w:t>-1.40</w:t>
            </w:r>
          </w:p>
        </w:tc>
        <w:tc>
          <w:tcPr>
            <w:tcW w:w="1559" w:type="dxa"/>
            <w:shd w:val="clear" w:color="auto" w:fill="575756"/>
          </w:tcPr>
          <w:p w:rsidR="009D7BDB" w:rsidRPr="009D7BDB" w:rsidRDefault="009D7BDB" w:rsidP="00727704">
            <w:pPr>
              <w:jc w:val="center"/>
              <w:rPr>
                <w:rFonts w:ascii="Arial" w:hAnsi="Arial" w:cs="Arial"/>
                <w:color w:val="FFFFFF" w:themeColor="background1"/>
                <w:sz w:val="24"/>
                <w:szCs w:val="24"/>
              </w:rPr>
            </w:pPr>
            <w:r w:rsidRPr="009D7BDB">
              <w:rPr>
                <w:rFonts w:ascii="Arial" w:hAnsi="Arial" w:cs="Arial"/>
                <w:color w:val="FFFFFF" w:themeColor="background1"/>
                <w:sz w:val="24"/>
                <w:szCs w:val="24"/>
              </w:rPr>
              <w:t>-1.15</w:t>
            </w:r>
          </w:p>
        </w:tc>
      </w:tr>
      <w:tr w:rsidR="00126392" w:rsidRPr="00126392" w:rsidTr="00126392">
        <w:tc>
          <w:tcPr>
            <w:tcW w:w="3261" w:type="dxa"/>
            <w:gridSpan w:val="2"/>
            <w:shd w:val="clear" w:color="auto" w:fill="E0E0E0"/>
          </w:tcPr>
          <w:p w:rsidR="00727704" w:rsidRPr="00126392" w:rsidRDefault="00727704" w:rsidP="00727704">
            <w:pPr>
              <w:jc w:val="center"/>
              <w:rPr>
                <w:rFonts w:ascii="Arial" w:hAnsi="Arial" w:cs="Arial"/>
                <w:b/>
                <w:sz w:val="24"/>
                <w:szCs w:val="24"/>
              </w:rPr>
            </w:pPr>
            <w:r w:rsidRPr="00126392">
              <w:rPr>
                <w:rFonts w:ascii="Arial" w:hAnsi="Arial" w:cs="Arial"/>
                <w:b/>
                <w:sz w:val="24"/>
                <w:szCs w:val="24"/>
              </w:rPr>
              <w:t>North West Residents</w:t>
            </w:r>
          </w:p>
        </w:tc>
        <w:tc>
          <w:tcPr>
            <w:tcW w:w="1470" w:type="dxa"/>
            <w:shd w:val="clear" w:color="auto" w:fill="E0E0E0"/>
          </w:tcPr>
          <w:p w:rsidR="00727704" w:rsidRPr="00126392" w:rsidRDefault="00727704" w:rsidP="00727704">
            <w:pPr>
              <w:spacing w:line="259" w:lineRule="auto"/>
              <w:jc w:val="center"/>
              <w:rPr>
                <w:rFonts w:ascii="Arial" w:hAnsi="Arial" w:cs="Arial"/>
                <w:sz w:val="24"/>
                <w:szCs w:val="24"/>
              </w:rPr>
            </w:pPr>
            <w:r w:rsidRPr="00126392">
              <w:rPr>
                <w:rFonts w:ascii="Arial" w:hAnsi="Arial" w:cs="Arial"/>
                <w:sz w:val="24"/>
                <w:szCs w:val="24"/>
              </w:rPr>
              <w:t>45.7</w:t>
            </w:r>
          </w:p>
        </w:tc>
        <w:tc>
          <w:tcPr>
            <w:tcW w:w="1223" w:type="dxa"/>
            <w:shd w:val="clear" w:color="auto" w:fill="E0E0E0"/>
          </w:tcPr>
          <w:p w:rsidR="00727704" w:rsidRPr="00126392" w:rsidRDefault="00727704" w:rsidP="00727704">
            <w:pPr>
              <w:spacing w:line="259" w:lineRule="auto"/>
              <w:jc w:val="center"/>
              <w:rPr>
                <w:rFonts w:ascii="Arial" w:hAnsi="Arial" w:cs="Arial"/>
                <w:sz w:val="24"/>
                <w:szCs w:val="24"/>
              </w:rPr>
            </w:pPr>
            <w:r w:rsidRPr="00126392">
              <w:rPr>
                <w:rFonts w:ascii="Arial" w:hAnsi="Arial" w:cs="Arial"/>
                <w:sz w:val="24"/>
                <w:szCs w:val="24"/>
              </w:rPr>
              <w:t>-0.16</w:t>
            </w:r>
          </w:p>
        </w:tc>
        <w:tc>
          <w:tcPr>
            <w:tcW w:w="1559" w:type="dxa"/>
            <w:shd w:val="clear" w:color="auto" w:fill="E0E0E0"/>
          </w:tcPr>
          <w:p w:rsidR="00727704" w:rsidRPr="00126392" w:rsidRDefault="00727704" w:rsidP="00727704">
            <w:pPr>
              <w:spacing w:line="259" w:lineRule="auto"/>
              <w:jc w:val="center"/>
              <w:rPr>
                <w:rFonts w:ascii="Arial" w:hAnsi="Arial" w:cs="Arial"/>
                <w:sz w:val="24"/>
                <w:szCs w:val="24"/>
              </w:rPr>
            </w:pPr>
            <w:r w:rsidRPr="00126392">
              <w:rPr>
                <w:rFonts w:ascii="Arial" w:hAnsi="Arial" w:cs="Arial"/>
                <w:sz w:val="24"/>
                <w:szCs w:val="24"/>
              </w:rPr>
              <w:t>-0.17</w:t>
            </w:r>
          </w:p>
        </w:tc>
        <w:tc>
          <w:tcPr>
            <w:tcW w:w="1559" w:type="dxa"/>
            <w:shd w:val="clear" w:color="auto" w:fill="E0E0E0"/>
          </w:tcPr>
          <w:p w:rsidR="00727704" w:rsidRPr="00126392" w:rsidRDefault="00727704" w:rsidP="00727704">
            <w:pPr>
              <w:spacing w:line="259" w:lineRule="auto"/>
              <w:jc w:val="center"/>
              <w:rPr>
                <w:rFonts w:ascii="Arial" w:hAnsi="Arial" w:cs="Arial"/>
                <w:sz w:val="24"/>
                <w:szCs w:val="24"/>
              </w:rPr>
            </w:pPr>
            <w:r w:rsidRPr="00126392">
              <w:rPr>
                <w:rFonts w:ascii="Arial" w:hAnsi="Arial" w:cs="Arial"/>
                <w:sz w:val="24"/>
                <w:szCs w:val="24"/>
              </w:rPr>
              <w:t>-0.15</w:t>
            </w:r>
          </w:p>
        </w:tc>
      </w:tr>
      <w:tr w:rsidR="00126392" w:rsidRPr="00126392" w:rsidTr="00126392">
        <w:tc>
          <w:tcPr>
            <w:tcW w:w="897" w:type="dxa"/>
            <w:vMerge w:val="restart"/>
            <w:shd w:val="clear" w:color="auto" w:fill="E0E0E0"/>
          </w:tcPr>
          <w:p w:rsidR="00B92CA6" w:rsidRPr="00126392" w:rsidRDefault="00B92CA6" w:rsidP="00727704">
            <w:pPr>
              <w:rPr>
                <w:rFonts w:ascii="Arial" w:hAnsi="Arial" w:cs="Arial"/>
                <w:sz w:val="24"/>
                <w:szCs w:val="24"/>
              </w:rPr>
            </w:pPr>
            <w:r w:rsidRPr="00126392">
              <w:rPr>
                <w:rFonts w:ascii="Arial" w:hAnsi="Arial" w:cs="Arial"/>
                <w:sz w:val="24"/>
                <w:szCs w:val="24"/>
              </w:rPr>
              <w:t xml:space="preserve">Of which: </w:t>
            </w:r>
          </w:p>
        </w:tc>
        <w:tc>
          <w:tcPr>
            <w:tcW w:w="2364" w:type="dxa"/>
            <w:shd w:val="clear" w:color="auto" w:fill="E0E0E0"/>
          </w:tcPr>
          <w:p w:rsidR="00B92CA6" w:rsidRPr="00126392" w:rsidRDefault="00B92CA6" w:rsidP="009D7BDB">
            <w:pPr>
              <w:rPr>
                <w:rFonts w:ascii="Arial" w:hAnsi="Arial" w:cs="Arial"/>
                <w:sz w:val="24"/>
                <w:szCs w:val="24"/>
              </w:rPr>
            </w:pPr>
            <w:r w:rsidRPr="00126392">
              <w:rPr>
                <w:rFonts w:ascii="Arial" w:hAnsi="Arial" w:cs="Arial"/>
                <w:sz w:val="24"/>
                <w:szCs w:val="24"/>
              </w:rPr>
              <w:t>Children Looked After</w:t>
            </w:r>
          </w:p>
        </w:tc>
        <w:tc>
          <w:tcPr>
            <w:tcW w:w="1470" w:type="dxa"/>
            <w:shd w:val="clear" w:color="auto" w:fill="E0E0E0"/>
          </w:tcPr>
          <w:p w:rsidR="00B92CA6" w:rsidRPr="00126392" w:rsidRDefault="00B92CA6" w:rsidP="00727704">
            <w:pPr>
              <w:jc w:val="center"/>
              <w:rPr>
                <w:rFonts w:ascii="Arial" w:hAnsi="Arial" w:cs="Arial"/>
                <w:sz w:val="24"/>
                <w:szCs w:val="24"/>
              </w:rPr>
            </w:pPr>
            <w:r w:rsidRPr="00126392">
              <w:rPr>
                <w:rFonts w:ascii="Arial" w:hAnsi="Arial" w:cs="Arial"/>
                <w:sz w:val="24"/>
                <w:szCs w:val="24"/>
              </w:rPr>
              <w:t>19.6</w:t>
            </w:r>
          </w:p>
        </w:tc>
        <w:tc>
          <w:tcPr>
            <w:tcW w:w="1223" w:type="dxa"/>
            <w:shd w:val="clear" w:color="auto" w:fill="E0E0E0"/>
          </w:tcPr>
          <w:p w:rsidR="00B92CA6" w:rsidRPr="00126392" w:rsidRDefault="00B92CA6" w:rsidP="00823EA7">
            <w:pPr>
              <w:jc w:val="center"/>
              <w:rPr>
                <w:rFonts w:ascii="Arial" w:hAnsi="Arial" w:cs="Arial"/>
                <w:sz w:val="24"/>
                <w:szCs w:val="24"/>
              </w:rPr>
            </w:pPr>
            <w:r w:rsidRPr="00126392">
              <w:rPr>
                <w:rFonts w:ascii="Arial" w:hAnsi="Arial" w:cs="Arial"/>
                <w:sz w:val="24"/>
                <w:szCs w:val="24"/>
              </w:rPr>
              <w:t>-1.26</w:t>
            </w:r>
          </w:p>
        </w:tc>
        <w:tc>
          <w:tcPr>
            <w:tcW w:w="3118" w:type="dxa"/>
            <w:gridSpan w:val="2"/>
            <w:shd w:val="clear" w:color="auto" w:fill="E0E0E0"/>
          </w:tcPr>
          <w:p w:rsidR="00B92CA6" w:rsidRPr="00126392" w:rsidRDefault="00B92CA6" w:rsidP="00727704">
            <w:pPr>
              <w:jc w:val="center"/>
              <w:rPr>
                <w:rFonts w:ascii="Arial" w:hAnsi="Arial" w:cs="Arial"/>
                <w:sz w:val="24"/>
                <w:szCs w:val="24"/>
              </w:rPr>
            </w:pPr>
            <w:r w:rsidRPr="00126392">
              <w:rPr>
                <w:rFonts w:ascii="Arial" w:hAnsi="Arial" w:cs="Arial"/>
                <w:sz w:val="24"/>
                <w:szCs w:val="24"/>
              </w:rPr>
              <w:t>Confidence intervals not available</w:t>
            </w:r>
          </w:p>
        </w:tc>
      </w:tr>
      <w:tr w:rsidR="00126392" w:rsidRPr="00126392" w:rsidTr="00126392">
        <w:tc>
          <w:tcPr>
            <w:tcW w:w="897" w:type="dxa"/>
            <w:vMerge/>
            <w:shd w:val="clear" w:color="auto" w:fill="E0E0E0"/>
          </w:tcPr>
          <w:p w:rsidR="009D7BDB" w:rsidRPr="00126392" w:rsidRDefault="009D7BDB" w:rsidP="00727704">
            <w:pPr>
              <w:rPr>
                <w:rFonts w:ascii="Arial" w:hAnsi="Arial" w:cs="Arial"/>
                <w:sz w:val="24"/>
                <w:szCs w:val="24"/>
              </w:rPr>
            </w:pPr>
          </w:p>
        </w:tc>
        <w:tc>
          <w:tcPr>
            <w:tcW w:w="2364" w:type="dxa"/>
            <w:shd w:val="clear" w:color="auto" w:fill="E0E0E0"/>
          </w:tcPr>
          <w:p w:rsidR="009D7BDB" w:rsidRPr="00126392" w:rsidRDefault="009D7BDB" w:rsidP="009D7BDB">
            <w:pPr>
              <w:rPr>
                <w:rFonts w:ascii="Arial" w:hAnsi="Arial" w:cs="Arial"/>
                <w:sz w:val="24"/>
                <w:szCs w:val="24"/>
              </w:rPr>
            </w:pPr>
            <w:r w:rsidRPr="00126392">
              <w:rPr>
                <w:rFonts w:ascii="Arial" w:hAnsi="Arial" w:cs="Arial"/>
                <w:sz w:val="24"/>
                <w:szCs w:val="24"/>
              </w:rPr>
              <w:t>SEN Pupils with Statement or EHCP</w:t>
            </w:r>
          </w:p>
        </w:tc>
        <w:tc>
          <w:tcPr>
            <w:tcW w:w="1470" w:type="dxa"/>
            <w:shd w:val="clear" w:color="auto" w:fill="E0E0E0"/>
          </w:tcPr>
          <w:p w:rsidR="009D7BDB" w:rsidRPr="00126392" w:rsidRDefault="009D7BDB" w:rsidP="00727704">
            <w:pPr>
              <w:jc w:val="center"/>
              <w:rPr>
                <w:rFonts w:ascii="Arial" w:hAnsi="Arial" w:cs="Arial"/>
                <w:sz w:val="24"/>
                <w:szCs w:val="24"/>
              </w:rPr>
            </w:pPr>
            <w:r w:rsidRPr="00126392">
              <w:rPr>
                <w:rFonts w:ascii="Arial" w:hAnsi="Arial" w:cs="Arial"/>
                <w:sz w:val="24"/>
                <w:szCs w:val="24"/>
              </w:rPr>
              <w:t>13.5</w:t>
            </w:r>
          </w:p>
        </w:tc>
        <w:tc>
          <w:tcPr>
            <w:tcW w:w="1223" w:type="dxa"/>
            <w:shd w:val="clear" w:color="auto" w:fill="E0E0E0"/>
          </w:tcPr>
          <w:p w:rsidR="009D7BDB" w:rsidRPr="00126392" w:rsidRDefault="009D7BDB" w:rsidP="00727704">
            <w:pPr>
              <w:jc w:val="center"/>
              <w:rPr>
                <w:rFonts w:ascii="Arial" w:hAnsi="Arial" w:cs="Arial"/>
                <w:sz w:val="24"/>
                <w:szCs w:val="24"/>
              </w:rPr>
            </w:pPr>
            <w:r w:rsidRPr="00126392">
              <w:rPr>
                <w:rFonts w:ascii="Arial" w:hAnsi="Arial" w:cs="Arial"/>
                <w:sz w:val="24"/>
                <w:szCs w:val="24"/>
              </w:rPr>
              <w:t>-1.2</w:t>
            </w:r>
          </w:p>
        </w:tc>
        <w:tc>
          <w:tcPr>
            <w:tcW w:w="1559" w:type="dxa"/>
            <w:shd w:val="clear" w:color="auto" w:fill="E0E0E0"/>
          </w:tcPr>
          <w:p w:rsidR="009D7BDB" w:rsidRPr="00126392" w:rsidRDefault="009D7BDB" w:rsidP="00727704">
            <w:pPr>
              <w:jc w:val="center"/>
              <w:rPr>
                <w:rFonts w:ascii="Arial" w:hAnsi="Arial" w:cs="Arial"/>
                <w:sz w:val="24"/>
                <w:szCs w:val="24"/>
              </w:rPr>
            </w:pPr>
            <w:r w:rsidRPr="00126392">
              <w:rPr>
                <w:rFonts w:ascii="Arial" w:hAnsi="Arial" w:cs="Arial"/>
                <w:sz w:val="24"/>
                <w:szCs w:val="24"/>
              </w:rPr>
              <w:t>-1.24</w:t>
            </w:r>
          </w:p>
        </w:tc>
        <w:tc>
          <w:tcPr>
            <w:tcW w:w="1559" w:type="dxa"/>
            <w:shd w:val="clear" w:color="auto" w:fill="E0E0E0"/>
          </w:tcPr>
          <w:p w:rsidR="009D7BDB" w:rsidRPr="00126392" w:rsidRDefault="009D7BDB" w:rsidP="00727704">
            <w:pPr>
              <w:jc w:val="center"/>
              <w:rPr>
                <w:rFonts w:ascii="Arial" w:hAnsi="Arial" w:cs="Arial"/>
                <w:sz w:val="24"/>
                <w:szCs w:val="24"/>
              </w:rPr>
            </w:pPr>
            <w:r w:rsidRPr="00126392">
              <w:rPr>
                <w:rFonts w:ascii="Arial" w:hAnsi="Arial" w:cs="Arial"/>
                <w:sz w:val="24"/>
                <w:szCs w:val="24"/>
              </w:rPr>
              <w:t>-1.14</w:t>
            </w:r>
          </w:p>
        </w:tc>
      </w:tr>
      <w:tr w:rsidR="00126392" w:rsidRPr="00126392" w:rsidTr="009D7BDB">
        <w:tc>
          <w:tcPr>
            <w:tcW w:w="3261" w:type="dxa"/>
            <w:gridSpan w:val="2"/>
            <w:shd w:val="clear" w:color="auto" w:fill="575756"/>
          </w:tcPr>
          <w:p w:rsidR="00727704" w:rsidRPr="00126392" w:rsidRDefault="00727704" w:rsidP="00727704">
            <w:pPr>
              <w:jc w:val="center"/>
              <w:rPr>
                <w:rFonts w:ascii="Arial" w:hAnsi="Arial" w:cs="Arial"/>
                <w:b/>
                <w:color w:val="FFFFFF" w:themeColor="background1"/>
                <w:sz w:val="24"/>
                <w:szCs w:val="24"/>
              </w:rPr>
            </w:pPr>
            <w:r w:rsidRPr="00126392">
              <w:rPr>
                <w:rFonts w:ascii="Arial" w:hAnsi="Arial" w:cs="Arial"/>
                <w:b/>
                <w:color w:val="FFFFFF" w:themeColor="background1"/>
                <w:sz w:val="24"/>
                <w:szCs w:val="24"/>
              </w:rPr>
              <w:t>England Residents</w:t>
            </w:r>
          </w:p>
        </w:tc>
        <w:tc>
          <w:tcPr>
            <w:tcW w:w="1470" w:type="dxa"/>
            <w:shd w:val="clear" w:color="auto" w:fill="575756"/>
          </w:tcPr>
          <w:p w:rsidR="00727704" w:rsidRPr="00126392" w:rsidRDefault="00727704" w:rsidP="00727704">
            <w:pPr>
              <w:spacing w:line="259" w:lineRule="auto"/>
              <w:jc w:val="center"/>
              <w:rPr>
                <w:rFonts w:ascii="Arial" w:hAnsi="Arial" w:cs="Arial"/>
                <w:color w:val="FFFFFF" w:themeColor="background1"/>
                <w:sz w:val="24"/>
                <w:szCs w:val="24"/>
              </w:rPr>
            </w:pPr>
            <w:r w:rsidRPr="00126392">
              <w:rPr>
                <w:rFonts w:ascii="Arial" w:hAnsi="Arial" w:cs="Arial"/>
                <w:color w:val="FFFFFF" w:themeColor="background1"/>
                <w:sz w:val="24"/>
                <w:szCs w:val="24"/>
              </w:rPr>
              <w:t>44.5</w:t>
            </w:r>
          </w:p>
        </w:tc>
        <w:tc>
          <w:tcPr>
            <w:tcW w:w="1223" w:type="dxa"/>
            <w:shd w:val="clear" w:color="auto" w:fill="575756"/>
          </w:tcPr>
          <w:p w:rsidR="00727704" w:rsidRPr="00126392" w:rsidRDefault="00727704" w:rsidP="00727704">
            <w:pPr>
              <w:spacing w:line="259" w:lineRule="auto"/>
              <w:jc w:val="center"/>
              <w:rPr>
                <w:rFonts w:ascii="Arial" w:hAnsi="Arial" w:cs="Arial"/>
                <w:color w:val="FFFFFF" w:themeColor="background1"/>
                <w:sz w:val="24"/>
                <w:szCs w:val="24"/>
              </w:rPr>
            </w:pPr>
            <w:r w:rsidRPr="00126392">
              <w:rPr>
                <w:rFonts w:ascii="Arial" w:hAnsi="Arial" w:cs="Arial"/>
                <w:color w:val="FFFFFF" w:themeColor="background1"/>
                <w:sz w:val="24"/>
                <w:szCs w:val="24"/>
              </w:rPr>
              <w:t>0.00</w:t>
            </w:r>
          </w:p>
        </w:tc>
        <w:tc>
          <w:tcPr>
            <w:tcW w:w="1559" w:type="dxa"/>
            <w:shd w:val="clear" w:color="auto" w:fill="575756"/>
          </w:tcPr>
          <w:p w:rsidR="00727704" w:rsidRPr="00126392" w:rsidRDefault="00727704" w:rsidP="00727704">
            <w:pPr>
              <w:spacing w:line="259" w:lineRule="auto"/>
              <w:jc w:val="center"/>
              <w:rPr>
                <w:rFonts w:ascii="Arial" w:hAnsi="Arial" w:cs="Arial"/>
                <w:color w:val="FFFFFF" w:themeColor="background1"/>
                <w:sz w:val="24"/>
                <w:szCs w:val="24"/>
              </w:rPr>
            </w:pPr>
            <w:r w:rsidRPr="00126392">
              <w:rPr>
                <w:rFonts w:ascii="Arial" w:hAnsi="Arial" w:cs="Arial"/>
                <w:color w:val="FFFFFF" w:themeColor="background1"/>
                <w:sz w:val="24"/>
                <w:szCs w:val="24"/>
              </w:rPr>
              <w:t>-</w:t>
            </w:r>
          </w:p>
        </w:tc>
        <w:tc>
          <w:tcPr>
            <w:tcW w:w="1559" w:type="dxa"/>
            <w:shd w:val="clear" w:color="auto" w:fill="575756"/>
          </w:tcPr>
          <w:p w:rsidR="00727704" w:rsidRPr="00126392" w:rsidRDefault="00727704" w:rsidP="00727704">
            <w:pPr>
              <w:spacing w:line="259" w:lineRule="auto"/>
              <w:jc w:val="center"/>
              <w:rPr>
                <w:rFonts w:ascii="Arial" w:hAnsi="Arial" w:cs="Arial"/>
                <w:color w:val="FFFFFF" w:themeColor="background1"/>
                <w:sz w:val="24"/>
                <w:szCs w:val="24"/>
              </w:rPr>
            </w:pPr>
            <w:r w:rsidRPr="00126392">
              <w:rPr>
                <w:rFonts w:ascii="Arial" w:hAnsi="Arial" w:cs="Arial"/>
                <w:color w:val="FFFFFF" w:themeColor="background1"/>
                <w:sz w:val="24"/>
                <w:szCs w:val="24"/>
              </w:rPr>
              <w:t>-</w:t>
            </w:r>
          </w:p>
        </w:tc>
      </w:tr>
      <w:tr w:rsidR="00126392" w:rsidRPr="00126392" w:rsidTr="00126392">
        <w:tc>
          <w:tcPr>
            <w:tcW w:w="897" w:type="dxa"/>
            <w:vMerge w:val="restart"/>
            <w:shd w:val="clear" w:color="auto" w:fill="575756"/>
          </w:tcPr>
          <w:p w:rsidR="009D7BDB" w:rsidRPr="00126392" w:rsidRDefault="009D7BDB" w:rsidP="00727704">
            <w:pPr>
              <w:rPr>
                <w:rFonts w:ascii="Arial" w:hAnsi="Arial" w:cs="Arial"/>
                <w:color w:val="FFFFFF" w:themeColor="background1"/>
                <w:sz w:val="24"/>
                <w:szCs w:val="24"/>
              </w:rPr>
            </w:pPr>
            <w:r w:rsidRPr="00126392">
              <w:rPr>
                <w:rFonts w:ascii="Arial" w:hAnsi="Arial" w:cs="Arial"/>
                <w:color w:val="FFFFFF" w:themeColor="background1"/>
                <w:sz w:val="24"/>
                <w:szCs w:val="24"/>
              </w:rPr>
              <w:t>Of which:</w:t>
            </w:r>
          </w:p>
        </w:tc>
        <w:tc>
          <w:tcPr>
            <w:tcW w:w="2364" w:type="dxa"/>
            <w:shd w:val="clear" w:color="auto" w:fill="575756"/>
          </w:tcPr>
          <w:p w:rsidR="009D7BDB" w:rsidRPr="00126392" w:rsidRDefault="009D7BDB" w:rsidP="009D7BDB">
            <w:pPr>
              <w:rPr>
                <w:rFonts w:ascii="Arial" w:hAnsi="Arial" w:cs="Arial"/>
                <w:color w:val="FFFFFF" w:themeColor="background1"/>
                <w:sz w:val="24"/>
                <w:szCs w:val="24"/>
              </w:rPr>
            </w:pPr>
            <w:r w:rsidRPr="00126392">
              <w:rPr>
                <w:rFonts w:ascii="Arial" w:hAnsi="Arial" w:cs="Arial"/>
                <w:color w:val="FFFFFF" w:themeColor="background1"/>
                <w:sz w:val="24"/>
                <w:szCs w:val="24"/>
              </w:rPr>
              <w:t>Children Looked After</w:t>
            </w:r>
          </w:p>
        </w:tc>
        <w:tc>
          <w:tcPr>
            <w:tcW w:w="1470" w:type="dxa"/>
            <w:shd w:val="clear" w:color="auto" w:fill="575756"/>
          </w:tcPr>
          <w:p w:rsidR="009D7BDB" w:rsidRPr="00126392" w:rsidRDefault="009D7BDB" w:rsidP="00823EA7">
            <w:pPr>
              <w:jc w:val="center"/>
              <w:rPr>
                <w:rFonts w:ascii="Arial" w:hAnsi="Arial" w:cs="Arial"/>
                <w:color w:val="FFFFFF" w:themeColor="background1"/>
                <w:sz w:val="24"/>
                <w:szCs w:val="24"/>
              </w:rPr>
            </w:pPr>
            <w:r w:rsidRPr="00126392">
              <w:rPr>
                <w:rFonts w:ascii="Arial" w:hAnsi="Arial" w:cs="Arial"/>
                <w:color w:val="FFFFFF" w:themeColor="background1"/>
                <w:sz w:val="24"/>
                <w:szCs w:val="24"/>
              </w:rPr>
              <w:t>1</w:t>
            </w:r>
            <w:r w:rsidR="00823EA7" w:rsidRPr="00126392">
              <w:rPr>
                <w:rFonts w:ascii="Arial" w:hAnsi="Arial" w:cs="Arial"/>
                <w:color w:val="FFFFFF" w:themeColor="background1"/>
                <w:sz w:val="24"/>
                <w:szCs w:val="24"/>
              </w:rPr>
              <w:t>8.9</w:t>
            </w:r>
          </w:p>
        </w:tc>
        <w:tc>
          <w:tcPr>
            <w:tcW w:w="1223" w:type="dxa"/>
            <w:shd w:val="clear" w:color="auto" w:fill="575756"/>
          </w:tcPr>
          <w:p w:rsidR="009D7BDB" w:rsidRPr="00126392" w:rsidRDefault="009D7BDB" w:rsidP="00823EA7">
            <w:pPr>
              <w:jc w:val="center"/>
              <w:rPr>
                <w:rFonts w:ascii="Arial" w:hAnsi="Arial" w:cs="Arial"/>
                <w:color w:val="FFFFFF" w:themeColor="background1"/>
                <w:sz w:val="24"/>
                <w:szCs w:val="24"/>
              </w:rPr>
            </w:pPr>
            <w:r w:rsidRPr="00126392">
              <w:rPr>
                <w:rFonts w:ascii="Arial" w:hAnsi="Arial" w:cs="Arial"/>
                <w:color w:val="FFFFFF" w:themeColor="background1"/>
                <w:sz w:val="24"/>
                <w:szCs w:val="24"/>
              </w:rPr>
              <w:t>-1.</w:t>
            </w:r>
            <w:r w:rsidR="00823EA7" w:rsidRPr="00126392">
              <w:rPr>
                <w:rFonts w:ascii="Arial" w:hAnsi="Arial" w:cs="Arial"/>
                <w:color w:val="FFFFFF" w:themeColor="background1"/>
                <w:sz w:val="24"/>
                <w:szCs w:val="24"/>
              </w:rPr>
              <w:t>2</w:t>
            </w:r>
          </w:p>
        </w:tc>
        <w:tc>
          <w:tcPr>
            <w:tcW w:w="1559" w:type="dxa"/>
            <w:shd w:val="clear" w:color="auto" w:fill="575756"/>
          </w:tcPr>
          <w:p w:rsidR="009D7BDB" w:rsidRPr="00126392" w:rsidRDefault="009D7BDB" w:rsidP="00823EA7">
            <w:pPr>
              <w:jc w:val="center"/>
              <w:rPr>
                <w:rFonts w:ascii="Arial" w:hAnsi="Arial" w:cs="Arial"/>
                <w:color w:val="FFFFFF" w:themeColor="background1"/>
                <w:sz w:val="24"/>
                <w:szCs w:val="24"/>
              </w:rPr>
            </w:pPr>
            <w:r w:rsidRPr="00126392">
              <w:rPr>
                <w:rFonts w:ascii="Arial" w:hAnsi="Arial" w:cs="Arial"/>
                <w:color w:val="FFFFFF" w:themeColor="background1"/>
                <w:sz w:val="24"/>
                <w:szCs w:val="24"/>
              </w:rPr>
              <w:t>-1.2</w:t>
            </w:r>
            <w:r w:rsidR="00823EA7" w:rsidRPr="00126392">
              <w:rPr>
                <w:rFonts w:ascii="Arial" w:hAnsi="Arial" w:cs="Arial"/>
                <w:color w:val="FFFFFF" w:themeColor="background1"/>
                <w:sz w:val="24"/>
                <w:szCs w:val="24"/>
              </w:rPr>
              <w:t>4</w:t>
            </w:r>
          </w:p>
        </w:tc>
        <w:tc>
          <w:tcPr>
            <w:tcW w:w="1559" w:type="dxa"/>
            <w:shd w:val="clear" w:color="auto" w:fill="575756"/>
          </w:tcPr>
          <w:p w:rsidR="009D7BDB" w:rsidRPr="00126392" w:rsidRDefault="009D7BDB" w:rsidP="00823EA7">
            <w:pPr>
              <w:jc w:val="center"/>
              <w:rPr>
                <w:rFonts w:ascii="Arial" w:hAnsi="Arial" w:cs="Arial"/>
                <w:color w:val="FFFFFF" w:themeColor="background1"/>
                <w:sz w:val="24"/>
                <w:szCs w:val="24"/>
              </w:rPr>
            </w:pPr>
            <w:r w:rsidRPr="00126392">
              <w:rPr>
                <w:rFonts w:ascii="Arial" w:hAnsi="Arial" w:cs="Arial"/>
                <w:color w:val="FFFFFF" w:themeColor="background1"/>
                <w:sz w:val="24"/>
                <w:szCs w:val="24"/>
              </w:rPr>
              <w:t>-1.1</w:t>
            </w:r>
            <w:r w:rsidR="00823EA7" w:rsidRPr="00126392">
              <w:rPr>
                <w:rFonts w:ascii="Arial" w:hAnsi="Arial" w:cs="Arial"/>
                <w:color w:val="FFFFFF" w:themeColor="background1"/>
                <w:sz w:val="24"/>
                <w:szCs w:val="24"/>
              </w:rPr>
              <w:t>6</w:t>
            </w:r>
          </w:p>
        </w:tc>
      </w:tr>
      <w:tr w:rsidR="00126392" w:rsidRPr="00126392" w:rsidTr="009D7BDB">
        <w:tc>
          <w:tcPr>
            <w:tcW w:w="897" w:type="dxa"/>
            <w:vMerge/>
            <w:shd w:val="clear" w:color="auto" w:fill="575756"/>
          </w:tcPr>
          <w:p w:rsidR="009D7BDB" w:rsidRPr="00126392" w:rsidRDefault="009D7BDB" w:rsidP="00727704">
            <w:pPr>
              <w:rPr>
                <w:rFonts w:ascii="Arial" w:hAnsi="Arial" w:cs="Arial"/>
                <w:color w:val="FFFFFF" w:themeColor="background1"/>
                <w:sz w:val="24"/>
                <w:szCs w:val="24"/>
              </w:rPr>
            </w:pPr>
          </w:p>
        </w:tc>
        <w:tc>
          <w:tcPr>
            <w:tcW w:w="2364" w:type="dxa"/>
            <w:shd w:val="clear" w:color="auto" w:fill="575756"/>
          </w:tcPr>
          <w:p w:rsidR="009D7BDB" w:rsidRPr="00126392" w:rsidRDefault="009D7BDB" w:rsidP="009D7BDB">
            <w:pPr>
              <w:rPr>
                <w:rFonts w:ascii="Arial" w:hAnsi="Arial" w:cs="Arial"/>
                <w:color w:val="FFFFFF" w:themeColor="background1"/>
                <w:sz w:val="24"/>
                <w:szCs w:val="24"/>
              </w:rPr>
            </w:pPr>
            <w:r w:rsidRPr="00126392">
              <w:rPr>
                <w:rFonts w:ascii="Arial" w:hAnsi="Arial" w:cs="Arial"/>
                <w:color w:val="FFFFFF" w:themeColor="background1"/>
                <w:sz w:val="24"/>
                <w:szCs w:val="24"/>
              </w:rPr>
              <w:t>SEN Pupils with Statement or EHCP</w:t>
            </w:r>
          </w:p>
        </w:tc>
        <w:tc>
          <w:tcPr>
            <w:tcW w:w="1470" w:type="dxa"/>
            <w:shd w:val="clear" w:color="auto" w:fill="575756"/>
          </w:tcPr>
          <w:p w:rsidR="009D7BDB" w:rsidRPr="00126392" w:rsidRDefault="009D7BDB" w:rsidP="00727704">
            <w:pPr>
              <w:jc w:val="center"/>
              <w:rPr>
                <w:rFonts w:ascii="Arial" w:hAnsi="Arial" w:cs="Arial"/>
                <w:color w:val="FFFFFF" w:themeColor="background1"/>
                <w:sz w:val="24"/>
                <w:szCs w:val="24"/>
              </w:rPr>
            </w:pPr>
            <w:r w:rsidRPr="00126392">
              <w:rPr>
                <w:rFonts w:ascii="Arial" w:hAnsi="Arial" w:cs="Arial"/>
                <w:color w:val="FFFFFF" w:themeColor="background1"/>
                <w:sz w:val="24"/>
                <w:szCs w:val="24"/>
              </w:rPr>
              <w:t>13.5</w:t>
            </w:r>
          </w:p>
        </w:tc>
        <w:tc>
          <w:tcPr>
            <w:tcW w:w="1223" w:type="dxa"/>
            <w:shd w:val="clear" w:color="auto" w:fill="575756"/>
          </w:tcPr>
          <w:p w:rsidR="009D7BDB" w:rsidRPr="00126392" w:rsidRDefault="009D7BDB" w:rsidP="00727704">
            <w:pPr>
              <w:jc w:val="center"/>
              <w:rPr>
                <w:rFonts w:ascii="Arial" w:hAnsi="Arial" w:cs="Arial"/>
                <w:color w:val="FFFFFF" w:themeColor="background1"/>
                <w:sz w:val="24"/>
                <w:szCs w:val="24"/>
              </w:rPr>
            </w:pPr>
            <w:r w:rsidRPr="00126392">
              <w:rPr>
                <w:rFonts w:ascii="Arial" w:hAnsi="Arial" w:cs="Arial"/>
                <w:color w:val="FFFFFF" w:themeColor="background1"/>
                <w:sz w:val="24"/>
                <w:szCs w:val="24"/>
              </w:rPr>
              <w:t>-1.1</w:t>
            </w:r>
          </w:p>
        </w:tc>
        <w:tc>
          <w:tcPr>
            <w:tcW w:w="1559" w:type="dxa"/>
            <w:shd w:val="clear" w:color="auto" w:fill="575756"/>
          </w:tcPr>
          <w:p w:rsidR="009D7BDB" w:rsidRPr="00126392" w:rsidRDefault="009D7BDB" w:rsidP="00727704">
            <w:pPr>
              <w:jc w:val="center"/>
              <w:rPr>
                <w:rFonts w:ascii="Arial" w:hAnsi="Arial" w:cs="Arial"/>
                <w:color w:val="FFFFFF" w:themeColor="background1"/>
                <w:sz w:val="24"/>
                <w:szCs w:val="24"/>
              </w:rPr>
            </w:pPr>
            <w:r w:rsidRPr="00126392">
              <w:rPr>
                <w:rFonts w:ascii="Arial" w:hAnsi="Arial" w:cs="Arial"/>
                <w:color w:val="FFFFFF" w:themeColor="background1"/>
                <w:sz w:val="24"/>
                <w:szCs w:val="24"/>
              </w:rPr>
              <w:t>-1.11</w:t>
            </w:r>
          </w:p>
        </w:tc>
        <w:tc>
          <w:tcPr>
            <w:tcW w:w="1559" w:type="dxa"/>
            <w:shd w:val="clear" w:color="auto" w:fill="575756"/>
          </w:tcPr>
          <w:p w:rsidR="009D7BDB" w:rsidRPr="00126392" w:rsidRDefault="009D7BDB" w:rsidP="00727704">
            <w:pPr>
              <w:jc w:val="center"/>
              <w:rPr>
                <w:rFonts w:ascii="Arial" w:hAnsi="Arial" w:cs="Arial"/>
                <w:color w:val="FFFFFF" w:themeColor="background1"/>
                <w:sz w:val="24"/>
                <w:szCs w:val="24"/>
              </w:rPr>
            </w:pPr>
            <w:r w:rsidRPr="00126392">
              <w:rPr>
                <w:rFonts w:ascii="Arial" w:hAnsi="Arial" w:cs="Arial"/>
                <w:color w:val="FFFFFF" w:themeColor="background1"/>
                <w:sz w:val="24"/>
                <w:szCs w:val="24"/>
              </w:rPr>
              <w:t>-1.07</w:t>
            </w:r>
          </w:p>
        </w:tc>
      </w:tr>
    </w:tbl>
    <w:p w:rsidR="007B7CDF" w:rsidRDefault="00727704" w:rsidP="007B7CDF">
      <w:pPr>
        <w:spacing w:after="0" w:line="240" w:lineRule="auto"/>
        <w:rPr>
          <w:rFonts w:ascii="Arial" w:hAnsi="Arial" w:cs="Arial"/>
          <w:sz w:val="24"/>
          <w:szCs w:val="24"/>
        </w:rPr>
      </w:pPr>
      <w:r w:rsidRPr="001636E1">
        <w:rPr>
          <w:rFonts w:ascii="Arial" w:hAnsi="Arial" w:cs="Arial"/>
          <w:sz w:val="24"/>
          <w:szCs w:val="24"/>
        </w:rPr>
        <w:t>EHCP – Education, Health and Care Plan</w:t>
      </w:r>
    </w:p>
    <w:p w:rsidR="00727704" w:rsidRDefault="00727704" w:rsidP="007B7CDF">
      <w:pPr>
        <w:spacing w:after="0" w:line="240" w:lineRule="auto"/>
        <w:rPr>
          <w:rFonts w:ascii="Arial" w:hAnsi="Arial" w:cs="Arial"/>
          <w:sz w:val="24"/>
          <w:szCs w:val="24"/>
        </w:rPr>
      </w:pPr>
    </w:p>
    <w:p w:rsidR="007B7CDF" w:rsidRPr="00613089" w:rsidRDefault="007B7CDF" w:rsidP="007B7CDF">
      <w:pPr>
        <w:pStyle w:val="Default"/>
        <w:numPr>
          <w:ilvl w:val="0"/>
          <w:numId w:val="14"/>
        </w:numPr>
        <w:rPr>
          <w:color w:val="auto"/>
        </w:rPr>
      </w:pPr>
      <w:r w:rsidRPr="005A49A9">
        <w:rPr>
          <w:color w:val="auto"/>
        </w:rPr>
        <w:t>For Attainment 8, the average score for Lancashire is</w:t>
      </w:r>
      <w:r w:rsidR="005A49A9" w:rsidRPr="005A49A9">
        <w:rPr>
          <w:color w:val="auto"/>
        </w:rPr>
        <w:t xml:space="preserve"> better than both the </w:t>
      </w:r>
      <w:r w:rsidRPr="00613089">
        <w:rPr>
          <w:color w:val="auto"/>
        </w:rPr>
        <w:t xml:space="preserve">North West and </w:t>
      </w:r>
      <w:r w:rsidR="005A49A9" w:rsidRPr="00613089">
        <w:rPr>
          <w:color w:val="auto"/>
        </w:rPr>
        <w:t>n</w:t>
      </w:r>
      <w:r w:rsidRPr="00613089">
        <w:rPr>
          <w:color w:val="auto"/>
        </w:rPr>
        <w:t>ational position</w:t>
      </w:r>
      <w:r w:rsidR="005A49A9" w:rsidRPr="00613089">
        <w:rPr>
          <w:color w:val="auto"/>
        </w:rPr>
        <w:t>s</w:t>
      </w:r>
    </w:p>
    <w:p w:rsidR="007B7CDF" w:rsidRPr="00613089" w:rsidRDefault="007B7CDF" w:rsidP="007B7CDF">
      <w:pPr>
        <w:pStyle w:val="Default"/>
        <w:numPr>
          <w:ilvl w:val="1"/>
          <w:numId w:val="14"/>
        </w:numPr>
        <w:rPr>
          <w:color w:val="auto"/>
        </w:rPr>
      </w:pPr>
      <w:r w:rsidRPr="00613089">
        <w:rPr>
          <w:color w:val="auto"/>
        </w:rPr>
        <w:t>Young people who have been looked after continuously for at least 12 months as at 31</w:t>
      </w:r>
      <w:r w:rsidRPr="00613089">
        <w:rPr>
          <w:color w:val="auto"/>
          <w:vertAlign w:val="superscript"/>
        </w:rPr>
        <w:t>st</w:t>
      </w:r>
      <w:r w:rsidRPr="00613089">
        <w:rPr>
          <w:color w:val="auto"/>
        </w:rPr>
        <w:t xml:space="preserve"> March 201</w:t>
      </w:r>
      <w:r w:rsidR="00AC32AE" w:rsidRPr="00613089">
        <w:rPr>
          <w:color w:val="auto"/>
        </w:rPr>
        <w:t xml:space="preserve">8 continue to </w:t>
      </w:r>
      <w:r w:rsidRPr="00613089">
        <w:rPr>
          <w:color w:val="auto"/>
        </w:rPr>
        <w:t>not achieve as well as those from the North West or England</w:t>
      </w:r>
      <w:r w:rsidR="00AC32AE" w:rsidRPr="00613089">
        <w:rPr>
          <w:color w:val="auto"/>
        </w:rPr>
        <w:t xml:space="preserve">.  However, there has been a greater improvement in Lancashire compared to the previous year.  Whilst the </w:t>
      </w:r>
      <w:r w:rsidRPr="00613089">
        <w:rPr>
          <w:color w:val="auto"/>
        </w:rPr>
        <w:t xml:space="preserve">attainment gap in Lancashire is greater than </w:t>
      </w:r>
      <w:r w:rsidR="00AC32AE" w:rsidRPr="00613089">
        <w:rPr>
          <w:color w:val="auto"/>
        </w:rPr>
        <w:t>the North West and England, it has r</w:t>
      </w:r>
      <w:r w:rsidR="00613089" w:rsidRPr="00613089">
        <w:rPr>
          <w:color w:val="auto"/>
        </w:rPr>
        <w:t>educed by 2.3 percentage points, which is a notable improvement</w:t>
      </w:r>
    </w:p>
    <w:p w:rsidR="009D7BDB" w:rsidRPr="00377FAD" w:rsidRDefault="009D7BDB" w:rsidP="009D7BDB">
      <w:pPr>
        <w:pStyle w:val="Default"/>
        <w:numPr>
          <w:ilvl w:val="1"/>
          <w:numId w:val="14"/>
        </w:numPr>
        <w:rPr>
          <w:color w:val="auto"/>
        </w:rPr>
      </w:pPr>
      <w:r w:rsidRPr="00377FAD">
        <w:rPr>
          <w:color w:val="auto"/>
        </w:rPr>
        <w:t>SEN pupils with a Statement or an EHCP do not achieve as well as those from the North West or England and the attainment gap in Lancashire is greater than these two comparators</w:t>
      </w:r>
    </w:p>
    <w:p w:rsidR="007B7CDF" w:rsidRPr="002A727B" w:rsidRDefault="007B7CDF" w:rsidP="007B7CDF">
      <w:pPr>
        <w:pStyle w:val="Default"/>
        <w:numPr>
          <w:ilvl w:val="0"/>
          <w:numId w:val="14"/>
        </w:numPr>
        <w:rPr>
          <w:color w:val="auto"/>
        </w:rPr>
      </w:pPr>
      <w:r w:rsidRPr="002A727B">
        <w:rPr>
          <w:color w:val="auto"/>
        </w:rPr>
        <w:t xml:space="preserve">For Progress 8, </w:t>
      </w:r>
      <w:r w:rsidR="005A49A9" w:rsidRPr="002A727B">
        <w:rPr>
          <w:color w:val="auto"/>
        </w:rPr>
        <w:t xml:space="preserve">whilst </w:t>
      </w:r>
      <w:r w:rsidRPr="002A727B">
        <w:rPr>
          <w:color w:val="auto"/>
        </w:rPr>
        <w:t>Lancashire residen</w:t>
      </w:r>
      <w:r w:rsidR="005A49A9" w:rsidRPr="002A727B">
        <w:rPr>
          <w:color w:val="auto"/>
        </w:rPr>
        <w:t>ts</w:t>
      </w:r>
      <w:r w:rsidR="00B92CA6" w:rsidRPr="002A727B">
        <w:rPr>
          <w:color w:val="auto"/>
        </w:rPr>
        <w:t xml:space="preserve"> do not make progress from their relative starting points, </w:t>
      </w:r>
      <w:r w:rsidR="005A49A9" w:rsidRPr="002A727B">
        <w:rPr>
          <w:color w:val="auto"/>
        </w:rPr>
        <w:t xml:space="preserve">it is better than the </w:t>
      </w:r>
      <w:r w:rsidRPr="002A727B">
        <w:rPr>
          <w:color w:val="auto"/>
        </w:rPr>
        <w:t>progress made by North West residents</w:t>
      </w:r>
    </w:p>
    <w:p w:rsidR="007B7CDF" w:rsidRPr="002A727B" w:rsidRDefault="007B7CDF" w:rsidP="007B7CDF">
      <w:pPr>
        <w:pStyle w:val="Default"/>
        <w:numPr>
          <w:ilvl w:val="1"/>
          <w:numId w:val="14"/>
        </w:numPr>
        <w:rPr>
          <w:color w:val="auto"/>
        </w:rPr>
      </w:pPr>
      <w:r w:rsidRPr="002A727B">
        <w:rPr>
          <w:color w:val="auto"/>
        </w:rPr>
        <w:t xml:space="preserve">Young people </w:t>
      </w:r>
      <w:r w:rsidR="00B92CA6" w:rsidRPr="002A727B">
        <w:rPr>
          <w:color w:val="auto"/>
        </w:rPr>
        <w:t xml:space="preserve">in Lancashire </w:t>
      </w:r>
      <w:r w:rsidRPr="002A727B">
        <w:rPr>
          <w:color w:val="auto"/>
        </w:rPr>
        <w:t>who have been looked after continuously for at least 12 months as at 31</w:t>
      </w:r>
      <w:r w:rsidRPr="002A727B">
        <w:rPr>
          <w:color w:val="auto"/>
          <w:vertAlign w:val="superscript"/>
        </w:rPr>
        <w:t>st</w:t>
      </w:r>
      <w:r w:rsidRPr="002A727B">
        <w:rPr>
          <w:color w:val="auto"/>
        </w:rPr>
        <w:t xml:space="preserve"> March 201</w:t>
      </w:r>
      <w:r w:rsidR="00613089" w:rsidRPr="002A727B">
        <w:rPr>
          <w:color w:val="auto"/>
        </w:rPr>
        <w:t>8</w:t>
      </w:r>
      <w:r w:rsidRPr="002A727B">
        <w:rPr>
          <w:color w:val="auto"/>
        </w:rPr>
        <w:t xml:space="preserve"> </w:t>
      </w:r>
      <w:r w:rsidR="00B92CA6" w:rsidRPr="002A727B">
        <w:rPr>
          <w:color w:val="auto"/>
        </w:rPr>
        <w:t xml:space="preserve">do not make progress from their relative starting points and this </w:t>
      </w:r>
      <w:r w:rsidR="00613089" w:rsidRPr="002A727B">
        <w:rPr>
          <w:color w:val="auto"/>
        </w:rPr>
        <w:t xml:space="preserve">continues to be </w:t>
      </w:r>
      <w:r w:rsidRPr="002A727B">
        <w:rPr>
          <w:color w:val="auto"/>
        </w:rPr>
        <w:t>worse than both the No</w:t>
      </w:r>
      <w:r w:rsidR="009D7BDB" w:rsidRPr="002A727B">
        <w:rPr>
          <w:color w:val="auto"/>
        </w:rPr>
        <w:t>rth West and national positions</w:t>
      </w:r>
      <w:r w:rsidR="00613089" w:rsidRPr="002A727B">
        <w:rPr>
          <w:color w:val="auto"/>
        </w:rPr>
        <w:t>.  However, there has been a greater improvement in Lancashire compared to the previous year</w:t>
      </w:r>
    </w:p>
    <w:p w:rsidR="009D7BDB" w:rsidRPr="002A727B" w:rsidRDefault="00377FAD" w:rsidP="009D7BDB">
      <w:pPr>
        <w:pStyle w:val="Default"/>
        <w:numPr>
          <w:ilvl w:val="1"/>
          <w:numId w:val="14"/>
        </w:numPr>
        <w:rPr>
          <w:color w:val="auto"/>
        </w:rPr>
      </w:pPr>
      <w:r w:rsidRPr="002A727B">
        <w:rPr>
          <w:color w:val="auto"/>
        </w:rPr>
        <w:t xml:space="preserve">SEN pupils with a Statement or an EHCP </w:t>
      </w:r>
      <w:r w:rsidR="00B92CA6" w:rsidRPr="002A727B">
        <w:rPr>
          <w:color w:val="auto"/>
        </w:rPr>
        <w:t>in Lancashire do not make progress from their relative starting points,</w:t>
      </w:r>
      <w:r w:rsidRPr="002A727B">
        <w:rPr>
          <w:color w:val="auto"/>
        </w:rPr>
        <w:t xml:space="preserve"> which is marginally better than the North West position but is worse than the national position</w:t>
      </w:r>
    </w:p>
    <w:p w:rsidR="00E275EA" w:rsidRDefault="00E275EA" w:rsidP="00E275EA">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For attainment in English and maths, </w:t>
      </w:r>
      <w:r w:rsidR="00B94D2A">
        <w:rPr>
          <w:rFonts w:ascii="Arial" w:hAnsi="Arial" w:cs="Arial"/>
          <w:sz w:val="24"/>
          <w:szCs w:val="24"/>
        </w:rPr>
        <w:t>66.1</w:t>
      </w:r>
      <w:r w:rsidRPr="00E275EA">
        <w:rPr>
          <w:rFonts w:ascii="Arial" w:hAnsi="Arial" w:cs="Arial"/>
          <w:sz w:val="24"/>
          <w:szCs w:val="24"/>
        </w:rPr>
        <w:t>% of Lancashir</w:t>
      </w:r>
      <w:r w:rsidR="00B94D2A">
        <w:rPr>
          <w:rFonts w:ascii="Arial" w:hAnsi="Arial" w:cs="Arial"/>
          <w:sz w:val="24"/>
          <w:szCs w:val="24"/>
        </w:rPr>
        <w:t>e residents achieved a grade 9-4</w:t>
      </w:r>
      <w:r w:rsidRPr="00E275EA">
        <w:rPr>
          <w:rFonts w:ascii="Arial" w:hAnsi="Arial" w:cs="Arial"/>
          <w:sz w:val="24"/>
          <w:szCs w:val="24"/>
        </w:rPr>
        <w:t xml:space="preserve"> in GCSE English and maths, compared to </w:t>
      </w:r>
      <w:r w:rsidR="00B94D2A">
        <w:rPr>
          <w:rFonts w:ascii="Arial" w:hAnsi="Arial" w:cs="Arial"/>
          <w:sz w:val="24"/>
          <w:szCs w:val="24"/>
        </w:rPr>
        <w:t>62.9% in the North West and 64.4</w:t>
      </w:r>
      <w:r w:rsidRPr="00E275EA">
        <w:rPr>
          <w:rFonts w:ascii="Arial" w:hAnsi="Arial" w:cs="Arial"/>
          <w:sz w:val="24"/>
          <w:szCs w:val="24"/>
        </w:rPr>
        <w:t>% for the state funded sector in England</w:t>
      </w:r>
    </w:p>
    <w:p w:rsidR="00A02D37" w:rsidRDefault="00B94D2A" w:rsidP="00B94D2A">
      <w:pPr>
        <w:pStyle w:val="Default"/>
        <w:numPr>
          <w:ilvl w:val="1"/>
          <w:numId w:val="14"/>
        </w:numPr>
      </w:pPr>
      <w:r w:rsidRPr="00377FAD">
        <w:rPr>
          <w:color w:val="auto"/>
        </w:rPr>
        <w:lastRenderedPageBreak/>
        <w:t>SEN pupils wi</w:t>
      </w:r>
      <w:r>
        <w:rPr>
          <w:color w:val="auto"/>
        </w:rPr>
        <w:t>th a Statement or an EHCP, 12.8</w:t>
      </w:r>
      <w:r w:rsidRPr="00E275EA">
        <w:t>% of Lancashir</w:t>
      </w:r>
      <w:r>
        <w:t>e residents achieved a grade 9-4</w:t>
      </w:r>
      <w:r w:rsidRPr="00E275EA">
        <w:t xml:space="preserve"> in GCSE English and maths, compared to </w:t>
      </w:r>
      <w:r>
        <w:t>10.5% in the North West and 10.5</w:t>
      </w:r>
      <w:r w:rsidRPr="00E275EA">
        <w:t>% for the state funded sector in England</w:t>
      </w:r>
    </w:p>
    <w:p w:rsidR="00E275EA" w:rsidRPr="00E275EA" w:rsidRDefault="003445BC" w:rsidP="00E275EA">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The following table sets out the </w:t>
      </w:r>
      <w:r w:rsidR="00AE24F8">
        <w:rPr>
          <w:rFonts w:ascii="Arial" w:hAnsi="Arial" w:cs="Arial"/>
          <w:sz w:val="24"/>
          <w:szCs w:val="24"/>
        </w:rPr>
        <w:t>P</w:t>
      </w:r>
      <w:r>
        <w:rPr>
          <w:rFonts w:ascii="Arial" w:hAnsi="Arial" w:cs="Arial"/>
          <w:sz w:val="24"/>
          <w:szCs w:val="24"/>
        </w:rPr>
        <w:t xml:space="preserve">rogress </w:t>
      </w:r>
      <w:r w:rsidR="00AE24F8">
        <w:rPr>
          <w:rFonts w:ascii="Arial" w:hAnsi="Arial" w:cs="Arial"/>
          <w:sz w:val="24"/>
          <w:szCs w:val="24"/>
        </w:rPr>
        <w:t xml:space="preserve">8 </w:t>
      </w:r>
      <w:r>
        <w:rPr>
          <w:rFonts w:ascii="Arial" w:hAnsi="Arial" w:cs="Arial"/>
          <w:sz w:val="24"/>
          <w:szCs w:val="24"/>
        </w:rPr>
        <w:t>scores for English and maths:</w:t>
      </w:r>
    </w:p>
    <w:p w:rsidR="007B7CDF" w:rsidRDefault="007B7CDF" w:rsidP="007B7CDF">
      <w:pPr>
        <w:spacing w:after="0" w:line="240" w:lineRule="auto"/>
        <w:rPr>
          <w:rFonts w:ascii="Arial" w:hAnsi="Arial" w:cs="Arial"/>
          <w:sz w:val="24"/>
          <w:szCs w:val="24"/>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228"/>
        <w:gridCol w:w="1229"/>
        <w:gridCol w:w="1228"/>
        <w:gridCol w:w="1229"/>
        <w:gridCol w:w="1228"/>
        <w:gridCol w:w="1229"/>
      </w:tblGrid>
      <w:tr w:rsidR="00AE24F8" w:rsidTr="000E61C0">
        <w:tc>
          <w:tcPr>
            <w:tcW w:w="1696" w:type="dxa"/>
            <w:vMerge w:val="restart"/>
            <w:shd w:val="clear" w:color="auto" w:fill="00ACE9"/>
          </w:tcPr>
          <w:p w:rsidR="00AE24F8" w:rsidRDefault="00AE24F8" w:rsidP="003445BC">
            <w:pPr>
              <w:rPr>
                <w:rFonts w:ascii="Arial" w:hAnsi="Arial" w:cs="Arial"/>
                <w:sz w:val="24"/>
                <w:szCs w:val="24"/>
              </w:rPr>
            </w:pPr>
          </w:p>
        </w:tc>
        <w:tc>
          <w:tcPr>
            <w:tcW w:w="3685" w:type="dxa"/>
            <w:gridSpan w:val="3"/>
            <w:shd w:val="clear" w:color="auto" w:fill="00ACE9"/>
          </w:tcPr>
          <w:p w:rsidR="00AE24F8" w:rsidRPr="008E2ACA" w:rsidRDefault="00AE24F8" w:rsidP="00AE24F8">
            <w:pPr>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Progress 8 Score in English</w:t>
            </w:r>
          </w:p>
        </w:tc>
        <w:tc>
          <w:tcPr>
            <w:tcW w:w="3686" w:type="dxa"/>
            <w:gridSpan w:val="3"/>
            <w:shd w:val="clear" w:color="auto" w:fill="00ACE9"/>
          </w:tcPr>
          <w:p w:rsidR="00AE24F8" w:rsidRPr="008E2ACA" w:rsidRDefault="00AE24F8" w:rsidP="00AE24F8">
            <w:pPr>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Progress 8 Score in maths</w:t>
            </w:r>
          </w:p>
        </w:tc>
      </w:tr>
      <w:tr w:rsidR="00AE24F8" w:rsidTr="000E61C0">
        <w:tc>
          <w:tcPr>
            <w:tcW w:w="1696" w:type="dxa"/>
            <w:vMerge/>
            <w:shd w:val="clear" w:color="auto" w:fill="00ACE9"/>
          </w:tcPr>
          <w:p w:rsidR="00AE24F8" w:rsidRDefault="00AE24F8" w:rsidP="003445BC">
            <w:pPr>
              <w:rPr>
                <w:rFonts w:ascii="Arial" w:hAnsi="Arial" w:cs="Arial"/>
                <w:sz w:val="24"/>
                <w:szCs w:val="24"/>
              </w:rPr>
            </w:pPr>
          </w:p>
        </w:tc>
        <w:tc>
          <w:tcPr>
            <w:tcW w:w="1228" w:type="dxa"/>
            <w:shd w:val="clear" w:color="auto" w:fill="00ACE9"/>
          </w:tcPr>
          <w:p w:rsidR="00AE24F8" w:rsidRPr="008E2ACA" w:rsidRDefault="00AE24F8" w:rsidP="00AE24F8">
            <w:pPr>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Score</w:t>
            </w:r>
          </w:p>
        </w:tc>
        <w:tc>
          <w:tcPr>
            <w:tcW w:w="1229" w:type="dxa"/>
            <w:shd w:val="clear" w:color="auto" w:fill="00ACE9"/>
          </w:tcPr>
          <w:p w:rsidR="00AE24F8" w:rsidRPr="008E2ACA" w:rsidRDefault="00AE24F8" w:rsidP="00AE24F8">
            <w:pPr>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Lower CI</w:t>
            </w:r>
          </w:p>
        </w:tc>
        <w:tc>
          <w:tcPr>
            <w:tcW w:w="1228" w:type="dxa"/>
            <w:shd w:val="clear" w:color="auto" w:fill="00ACE9"/>
          </w:tcPr>
          <w:p w:rsidR="000E61C0" w:rsidRPr="008E2ACA" w:rsidRDefault="00AE24F8" w:rsidP="00AE24F8">
            <w:pPr>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Upper</w:t>
            </w:r>
          </w:p>
          <w:p w:rsidR="00AE24F8" w:rsidRPr="008E2ACA" w:rsidRDefault="00AE24F8" w:rsidP="00AE24F8">
            <w:pPr>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CI</w:t>
            </w:r>
          </w:p>
        </w:tc>
        <w:tc>
          <w:tcPr>
            <w:tcW w:w="1229" w:type="dxa"/>
            <w:shd w:val="clear" w:color="auto" w:fill="00ACE9"/>
          </w:tcPr>
          <w:p w:rsidR="00AE24F8" w:rsidRPr="008E2ACA" w:rsidRDefault="00AE24F8" w:rsidP="00AE24F8">
            <w:pPr>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Score</w:t>
            </w:r>
          </w:p>
        </w:tc>
        <w:tc>
          <w:tcPr>
            <w:tcW w:w="1228" w:type="dxa"/>
            <w:shd w:val="clear" w:color="auto" w:fill="00ACE9"/>
          </w:tcPr>
          <w:p w:rsidR="00AE24F8" w:rsidRPr="008E2ACA" w:rsidRDefault="00AE24F8" w:rsidP="00AE24F8">
            <w:pPr>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Lower CI</w:t>
            </w:r>
          </w:p>
        </w:tc>
        <w:tc>
          <w:tcPr>
            <w:tcW w:w="1229" w:type="dxa"/>
            <w:shd w:val="clear" w:color="auto" w:fill="00ACE9"/>
          </w:tcPr>
          <w:p w:rsidR="000E61C0" w:rsidRPr="008E2ACA" w:rsidRDefault="00AE24F8" w:rsidP="00AE24F8">
            <w:pPr>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Upper</w:t>
            </w:r>
          </w:p>
          <w:p w:rsidR="00AE24F8" w:rsidRPr="008E2ACA" w:rsidRDefault="00AE24F8" w:rsidP="00AE24F8">
            <w:pPr>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CI</w:t>
            </w:r>
          </w:p>
        </w:tc>
      </w:tr>
      <w:tr w:rsidR="00AE24F8" w:rsidRPr="00AE24F8" w:rsidTr="000E61C0">
        <w:tc>
          <w:tcPr>
            <w:tcW w:w="1696" w:type="dxa"/>
            <w:shd w:val="clear" w:color="auto" w:fill="575756"/>
          </w:tcPr>
          <w:p w:rsidR="00AE24F8" w:rsidRPr="00AE24F8" w:rsidRDefault="00AE24F8" w:rsidP="003445BC">
            <w:pPr>
              <w:rPr>
                <w:rFonts w:ascii="Arial" w:hAnsi="Arial" w:cs="Arial"/>
                <w:color w:val="FFFFFF" w:themeColor="background1"/>
                <w:sz w:val="24"/>
                <w:szCs w:val="24"/>
              </w:rPr>
            </w:pPr>
            <w:r w:rsidRPr="00AE24F8">
              <w:rPr>
                <w:rFonts w:ascii="Arial" w:hAnsi="Arial" w:cs="Arial"/>
                <w:color w:val="FFFFFF" w:themeColor="background1"/>
                <w:sz w:val="24"/>
                <w:szCs w:val="24"/>
              </w:rPr>
              <w:t>Lancashire residents</w:t>
            </w:r>
          </w:p>
        </w:tc>
        <w:tc>
          <w:tcPr>
            <w:tcW w:w="1228"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-0.08</w:t>
            </w:r>
          </w:p>
        </w:tc>
        <w:tc>
          <w:tcPr>
            <w:tcW w:w="1229"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-0.11</w:t>
            </w:r>
          </w:p>
        </w:tc>
        <w:tc>
          <w:tcPr>
            <w:tcW w:w="1228"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-0.05</w:t>
            </w:r>
          </w:p>
        </w:tc>
        <w:tc>
          <w:tcPr>
            <w:tcW w:w="1229"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-0.08</w:t>
            </w:r>
          </w:p>
        </w:tc>
        <w:tc>
          <w:tcPr>
            <w:tcW w:w="1228"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-0.1</w:t>
            </w:r>
          </w:p>
        </w:tc>
        <w:tc>
          <w:tcPr>
            <w:tcW w:w="1229"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-0.05</w:t>
            </w:r>
          </w:p>
        </w:tc>
      </w:tr>
      <w:tr w:rsidR="00AE24F8" w:rsidTr="005809E3">
        <w:tc>
          <w:tcPr>
            <w:tcW w:w="1696" w:type="dxa"/>
            <w:shd w:val="clear" w:color="auto" w:fill="E0E0E0"/>
          </w:tcPr>
          <w:p w:rsidR="00AE24F8" w:rsidRDefault="00AE24F8" w:rsidP="003445BC">
            <w:pPr>
              <w:rPr>
                <w:rFonts w:ascii="Arial" w:hAnsi="Arial" w:cs="Arial"/>
                <w:sz w:val="24"/>
                <w:szCs w:val="24"/>
              </w:rPr>
            </w:pPr>
            <w:r>
              <w:rPr>
                <w:rFonts w:ascii="Arial" w:hAnsi="Arial" w:cs="Arial"/>
                <w:sz w:val="24"/>
                <w:szCs w:val="24"/>
              </w:rPr>
              <w:t>NW residents</w:t>
            </w:r>
          </w:p>
        </w:tc>
        <w:tc>
          <w:tcPr>
            <w:tcW w:w="1228" w:type="dxa"/>
            <w:shd w:val="clear" w:color="auto" w:fill="E0E0E0"/>
          </w:tcPr>
          <w:p w:rsidR="00AE24F8" w:rsidRDefault="00AE24F8" w:rsidP="00AE24F8">
            <w:pPr>
              <w:jc w:val="center"/>
              <w:rPr>
                <w:rFonts w:ascii="Arial" w:hAnsi="Arial" w:cs="Arial"/>
                <w:sz w:val="24"/>
                <w:szCs w:val="24"/>
              </w:rPr>
            </w:pPr>
            <w:r>
              <w:rPr>
                <w:rFonts w:ascii="Arial" w:hAnsi="Arial" w:cs="Arial"/>
                <w:sz w:val="24"/>
                <w:szCs w:val="24"/>
              </w:rPr>
              <w:t>-0.17</w:t>
            </w:r>
          </w:p>
        </w:tc>
        <w:tc>
          <w:tcPr>
            <w:tcW w:w="1229" w:type="dxa"/>
            <w:shd w:val="clear" w:color="auto" w:fill="E0E0E0"/>
          </w:tcPr>
          <w:p w:rsidR="00AE24F8" w:rsidRDefault="00AE24F8" w:rsidP="00AE24F8">
            <w:pPr>
              <w:jc w:val="center"/>
              <w:rPr>
                <w:rFonts w:ascii="Arial" w:hAnsi="Arial" w:cs="Arial"/>
                <w:sz w:val="24"/>
                <w:szCs w:val="24"/>
              </w:rPr>
            </w:pPr>
            <w:r>
              <w:rPr>
                <w:rFonts w:ascii="Arial" w:hAnsi="Arial" w:cs="Arial"/>
                <w:sz w:val="24"/>
                <w:szCs w:val="24"/>
              </w:rPr>
              <w:t>-0.18</w:t>
            </w:r>
          </w:p>
        </w:tc>
        <w:tc>
          <w:tcPr>
            <w:tcW w:w="1228" w:type="dxa"/>
            <w:shd w:val="clear" w:color="auto" w:fill="E0E0E0"/>
          </w:tcPr>
          <w:p w:rsidR="00AE24F8" w:rsidRDefault="00AE24F8" w:rsidP="00AE24F8">
            <w:pPr>
              <w:jc w:val="center"/>
              <w:rPr>
                <w:rFonts w:ascii="Arial" w:hAnsi="Arial" w:cs="Arial"/>
                <w:sz w:val="24"/>
                <w:szCs w:val="24"/>
              </w:rPr>
            </w:pPr>
            <w:r>
              <w:rPr>
                <w:rFonts w:ascii="Arial" w:hAnsi="Arial" w:cs="Arial"/>
                <w:sz w:val="24"/>
                <w:szCs w:val="24"/>
              </w:rPr>
              <w:t>-0.16</w:t>
            </w:r>
          </w:p>
        </w:tc>
        <w:tc>
          <w:tcPr>
            <w:tcW w:w="1229" w:type="dxa"/>
            <w:shd w:val="clear" w:color="auto" w:fill="E0E0E0"/>
          </w:tcPr>
          <w:p w:rsidR="00AE24F8" w:rsidRDefault="00AE24F8" w:rsidP="00AE24F8">
            <w:pPr>
              <w:jc w:val="center"/>
              <w:rPr>
                <w:rFonts w:ascii="Arial" w:hAnsi="Arial" w:cs="Arial"/>
                <w:sz w:val="24"/>
                <w:szCs w:val="24"/>
              </w:rPr>
            </w:pPr>
            <w:r>
              <w:rPr>
                <w:rFonts w:ascii="Arial" w:hAnsi="Arial" w:cs="Arial"/>
                <w:sz w:val="24"/>
                <w:szCs w:val="24"/>
              </w:rPr>
              <w:t>-0.18</w:t>
            </w:r>
          </w:p>
        </w:tc>
        <w:tc>
          <w:tcPr>
            <w:tcW w:w="1228" w:type="dxa"/>
            <w:shd w:val="clear" w:color="auto" w:fill="E0E0E0"/>
          </w:tcPr>
          <w:p w:rsidR="00AE24F8" w:rsidRDefault="00AE24F8" w:rsidP="00AE24F8">
            <w:pPr>
              <w:jc w:val="center"/>
              <w:rPr>
                <w:rFonts w:ascii="Arial" w:hAnsi="Arial" w:cs="Arial"/>
                <w:sz w:val="24"/>
                <w:szCs w:val="24"/>
              </w:rPr>
            </w:pPr>
            <w:r>
              <w:rPr>
                <w:rFonts w:ascii="Arial" w:hAnsi="Arial" w:cs="Arial"/>
                <w:sz w:val="24"/>
                <w:szCs w:val="24"/>
              </w:rPr>
              <w:t>-0.19</w:t>
            </w:r>
          </w:p>
        </w:tc>
        <w:tc>
          <w:tcPr>
            <w:tcW w:w="1229" w:type="dxa"/>
            <w:shd w:val="clear" w:color="auto" w:fill="E0E0E0"/>
          </w:tcPr>
          <w:p w:rsidR="00AE24F8" w:rsidRDefault="00AE24F8" w:rsidP="00AE24F8">
            <w:pPr>
              <w:jc w:val="center"/>
              <w:rPr>
                <w:rFonts w:ascii="Arial" w:hAnsi="Arial" w:cs="Arial"/>
                <w:sz w:val="24"/>
                <w:szCs w:val="24"/>
              </w:rPr>
            </w:pPr>
            <w:r>
              <w:rPr>
                <w:rFonts w:ascii="Arial" w:hAnsi="Arial" w:cs="Arial"/>
                <w:sz w:val="24"/>
                <w:szCs w:val="24"/>
              </w:rPr>
              <w:t>-0.17</w:t>
            </w:r>
          </w:p>
        </w:tc>
      </w:tr>
      <w:tr w:rsidR="00AE24F8" w:rsidRPr="00AE24F8" w:rsidTr="000E61C0">
        <w:tc>
          <w:tcPr>
            <w:tcW w:w="1696" w:type="dxa"/>
            <w:shd w:val="clear" w:color="auto" w:fill="575756"/>
          </w:tcPr>
          <w:p w:rsidR="00AE24F8" w:rsidRPr="00AE24F8" w:rsidRDefault="00AE24F8" w:rsidP="003445BC">
            <w:pPr>
              <w:rPr>
                <w:rFonts w:ascii="Arial" w:hAnsi="Arial" w:cs="Arial"/>
                <w:color w:val="FFFFFF" w:themeColor="background1"/>
                <w:sz w:val="24"/>
                <w:szCs w:val="24"/>
              </w:rPr>
            </w:pPr>
            <w:r w:rsidRPr="00AE24F8">
              <w:rPr>
                <w:rFonts w:ascii="Arial" w:hAnsi="Arial" w:cs="Arial"/>
                <w:color w:val="FFFFFF" w:themeColor="background1"/>
                <w:sz w:val="24"/>
                <w:szCs w:val="24"/>
              </w:rPr>
              <w:t>State Funded Sector</w:t>
            </w:r>
          </w:p>
        </w:tc>
        <w:tc>
          <w:tcPr>
            <w:tcW w:w="1228"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-0.04</w:t>
            </w:r>
          </w:p>
        </w:tc>
        <w:tc>
          <w:tcPr>
            <w:tcW w:w="1229"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-0.04</w:t>
            </w:r>
          </w:p>
        </w:tc>
        <w:tc>
          <w:tcPr>
            <w:tcW w:w="1228"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-0.03</w:t>
            </w:r>
          </w:p>
        </w:tc>
        <w:tc>
          <w:tcPr>
            <w:tcW w:w="1229"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-0.02</w:t>
            </w:r>
          </w:p>
        </w:tc>
        <w:tc>
          <w:tcPr>
            <w:tcW w:w="1228"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-0.02</w:t>
            </w:r>
          </w:p>
        </w:tc>
        <w:tc>
          <w:tcPr>
            <w:tcW w:w="1229" w:type="dxa"/>
            <w:shd w:val="clear" w:color="auto" w:fill="575756"/>
          </w:tcPr>
          <w:p w:rsidR="00AE24F8" w:rsidRPr="00AE24F8" w:rsidRDefault="00AE24F8" w:rsidP="00AE24F8">
            <w:pPr>
              <w:jc w:val="center"/>
              <w:rPr>
                <w:rFonts w:ascii="Arial" w:hAnsi="Arial" w:cs="Arial"/>
                <w:color w:val="FFFFFF" w:themeColor="background1"/>
                <w:sz w:val="24"/>
                <w:szCs w:val="24"/>
              </w:rPr>
            </w:pPr>
            <w:r w:rsidRPr="00AE24F8">
              <w:rPr>
                <w:rFonts w:ascii="Arial" w:hAnsi="Arial" w:cs="Arial"/>
                <w:color w:val="FFFFFF" w:themeColor="background1"/>
                <w:sz w:val="24"/>
                <w:szCs w:val="24"/>
              </w:rPr>
              <w:t>-0.02</w:t>
            </w:r>
          </w:p>
        </w:tc>
      </w:tr>
    </w:tbl>
    <w:p w:rsidR="003445BC" w:rsidRDefault="00AE24F8" w:rsidP="007B7CDF">
      <w:pPr>
        <w:spacing w:after="0" w:line="240" w:lineRule="auto"/>
        <w:rPr>
          <w:rFonts w:ascii="Arial" w:hAnsi="Arial" w:cs="Arial"/>
          <w:sz w:val="24"/>
          <w:szCs w:val="24"/>
        </w:rPr>
      </w:pPr>
      <w:r>
        <w:rPr>
          <w:rFonts w:ascii="Arial" w:hAnsi="Arial" w:cs="Arial"/>
          <w:sz w:val="24"/>
          <w:szCs w:val="24"/>
        </w:rPr>
        <w:t>CI – Confidence Interval</w:t>
      </w:r>
    </w:p>
    <w:p w:rsidR="003445BC" w:rsidRDefault="003445BC" w:rsidP="007B7CDF">
      <w:pPr>
        <w:spacing w:after="0" w:line="240" w:lineRule="auto"/>
        <w:rPr>
          <w:rFonts w:ascii="Arial" w:hAnsi="Arial" w:cs="Arial"/>
          <w:sz w:val="24"/>
          <w:szCs w:val="24"/>
        </w:rPr>
      </w:pPr>
    </w:p>
    <w:tbl>
      <w:tblPr>
        <w:tblStyle w:val="TableGrid"/>
        <w:tblW w:w="0" w:type="auto"/>
        <w:shd w:val="clear" w:color="auto" w:fill="00ACE9"/>
        <w:tblLook w:val="04A0" w:firstRow="1" w:lastRow="0" w:firstColumn="1" w:lastColumn="0" w:noHBand="0" w:noVBand="1"/>
      </w:tblPr>
      <w:tblGrid>
        <w:gridCol w:w="9016"/>
      </w:tblGrid>
      <w:tr w:rsidR="007B7CDF" w:rsidRPr="006D7A22" w:rsidTr="005A49A9">
        <w:tc>
          <w:tcPr>
            <w:tcW w:w="9016" w:type="dxa"/>
            <w:tcBorders>
              <w:top w:val="nil"/>
              <w:left w:val="nil"/>
              <w:bottom w:val="nil"/>
              <w:right w:val="nil"/>
            </w:tcBorders>
            <w:shd w:val="clear" w:color="auto" w:fill="00ACE9"/>
          </w:tcPr>
          <w:p w:rsidR="007B7CDF" w:rsidRPr="006D7A22" w:rsidRDefault="007B7CDF" w:rsidP="005A49A9">
            <w:pPr>
              <w:jc w:val="center"/>
              <w:rPr>
                <w:rFonts w:ascii="Arial" w:hAnsi="Arial" w:cs="Arial"/>
                <w:color w:val="FFFFFF" w:themeColor="background1"/>
                <w:sz w:val="24"/>
                <w:szCs w:val="24"/>
              </w:rPr>
            </w:pPr>
            <w:r w:rsidRPr="008E2ACA">
              <w:rPr>
                <w:rFonts w:ascii="Arial" w:hAnsi="Arial" w:cs="Arial"/>
                <w:b/>
                <w:color w:val="FFFFFF" w:themeColor="background1"/>
                <w:sz w:val="24"/>
                <w:szCs w:val="24"/>
              </w:rPr>
              <w:t>P</w:t>
            </w:r>
            <w:bookmarkStart w:id="1" w:name="Participation_by_Lancashire_Residents"/>
            <w:bookmarkEnd w:id="1"/>
            <w:r w:rsidRPr="008E2ACA">
              <w:rPr>
                <w:rFonts w:ascii="Arial" w:hAnsi="Arial" w:cs="Arial"/>
                <w:b/>
                <w:color w:val="FFFFFF" w:themeColor="background1"/>
                <w:sz w:val="24"/>
                <w:szCs w:val="24"/>
              </w:rPr>
              <w:t>articipation by Lancashire Residents</w:t>
            </w:r>
          </w:p>
        </w:tc>
      </w:tr>
    </w:tbl>
    <w:p w:rsidR="007B7CDF" w:rsidRPr="00E5532D" w:rsidRDefault="007B7CDF" w:rsidP="007B7CDF">
      <w:pPr>
        <w:spacing w:after="0"/>
        <w:rPr>
          <w:rFonts w:ascii="Arial" w:hAnsi="Arial" w:cs="Arial"/>
          <w:sz w:val="24"/>
          <w:szCs w:val="24"/>
        </w:rPr>
      </w:pPr>
    </w:p>
    <w:tbl>
      <w:tblPr>
        <w:tblW w:w="0" w:type="auto"/>
        <w:tblInd w:w="703" w:type="dxa"/>
        <w:tblLook w:val="04A0" w:firstRow="1" w:lastRow="0" w:firstColumn="1" w:lastColumn="0" w:noHBand="0" w:noVBand="1"/>
      </w:tblPr>
      <w:tblGrid>
        <w:gridCol w:w="1101"/>
        <w:gridCol w:w="1134"/>
        <w:gridCol w:w="2273"/>
        <w:gridCol w:w="1484"/>
        <w:gridCol w:w="1770"/>
      </w:tblGrid>
      <w:tr w:rsidR="007B7CDF" w:rsidRPr="00E5532D" w:rsidTr="007B7CDF">
        <w:tc>
          <w:tcPr>
            <w:tcW w:w="4508" w:type="dxa"/>
            <w:gridSpan w:val="3"/>
            <w:shd w:val="clear" w:color="auto" w:fill="00ACE9"/>
          </w:tcPr>
          <w:p w:rsidR="007B7CDF" w:rsidRPr="00E5532D" w:rsidRDefault="007B7CDF" w:rsidP="005A49A9">
            <w:pPr>
              <w:spacing w:after="0"/>
              <w:jc w:val="center"/>
              <w:rPr>
                <w:rFonts w:ascii="Arial" w:hAnsi="Arial" w:cs="Arial"/>
                <w:b/>
                <w:sz w:val="24"/>
                <w:szCs w:val="24"/>
              </w:rPr>
            </w:pPr>
          </w:p>
        </w:tc>
        <w:tc>
          <w:tcPr>
            <w:tcW w:w="1484"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Lancashire</w:t>
            </w:r>
          </w:p>
        </w:tc>
        <w:tc>
          <w:tcPr>
            <w:tcW w:w="1770"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National</w:t>
            </w:r>
          </w:p>
        </w:tc>
      </w:tr>
      <w:tr w:rsidR="007B7CDF" w:rsidRPr="00E5532D" w:rsidTr="00C8050A">
        <w:tc>
          <w:tcPr>
            <w:tcW w:w="1101" w:type="dxa"/>
            <w:vMerge w:val="restart"/>
            <w:shd w:val="clear" w:color="auto" w:fill="575756"/>
          </w:tcPr>
          <w:p w:rsidR="007B7CDF" w:rsidRPr="00DC0DD5" w:rsidRDefault="007B7CDF" w:rsidP="005A49A9">
            <w:pPr>
              <w:spacing w:after="0"/>
              <w:jc w:val="center"/>
              <w:rPr>
                <w:rFonts w:ascii="Arial" w:hAnsi="Arial" w:cs="Arial"/>
                <w:b/>
                <w:color w:val="FFFFFF" w:themeColor="background1"/>
                <w:sz w:val="24"/>
                <w:szCs w:val="24"/>
              </w:rPr>
            </w:pPr>
            <w:r w:rsidRPr="00DC0DD5">
              <w:rPr>
                <w:rFonts w:ascii="Arial" w:hAnsi="Arial" w:cs="Arial"/>
                <w:b/>
                <w:color w:val="FFFFFF" w:themeColor="background1"/>
                <w:sz w:val="24"/>
                <w:szCs w:val="24"/>
              </w:rPr>
              <w:t>2015/16</w:t>
            </w:r>
          </w:p>
        </w:tc>
        <w:tc>
          <w:tcPr>
            <w:tcW w:w="1134" w:type="dxa"/>
            <w:vMerge w:val="restart"/>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FE</w:t>
            </w:r>
          </w:p>
        </w:tc>
        <w:tc>
          <w:tcPr>
            <w:tcW w:w="2273" w:type="dxa"/>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16-18</w:t>
            </w:r>
          </w:p>
        </w:tc>
        <w:tc>
          <w:tcPr>
            <w:tcW w:w="1484"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21,120</w:t>
            </w:r>
          </w:p>
        </w:tc>
        <w:tc>
          <w:tcPr>
            <w:tcW w:w="1770" w:type="dxa"/>
            <w:vMerge w:val="restart"/>
            <w:shd w:val="clear" w:color="auto" w:fill="575756"/>
            <w:vAlign w:val="center"/>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749,027</w:t>
            </w:r>
          </w:p>
        </w:tc>
      </w:tr>
      <w:tr w:rsidR="007B7CDF" w:rsidRPr="00E5532D" w:rsidTr="005A49A9">
        <w:tc>
          <w:tcPr>
            <w:tcW w:w="1101" w:type="dxa"/>
            <w:vMerge/>
            <w:shd w:val="clear" w:color="auto" w:fill="575756"/>
          </w:tcPr>
          <w:p w:rsidR="007B7CDF" w:rsidRPr="00DC0DD5" w:rsidRDefault="007B7CDF" w:rsidP="005A49A9">
            <w:pPr>
              <w:spacing w:after="0"/>
              <w:jc w:val="center"/>
              <w:rPr>
                <w:rFonts w:ascii="Arial" w:hAnsi="Arial" w:cs="Arial"/>
                <w:b/>
                <w:color w:val="FFFFFF" w:themeColor="background1"/>
                <w:sz w:val="24"/>
                <w:szCs w:val="24"/>
              </w:rPr>
            </w:pPr>
          </w:p>
        </w:tc>
        <w:tc>
          <w:tcPr>
            <w:tcW w:w="1134" w:type="dxa"/>
            <w:vMerge/>
            <w:shd w:val="clear" w:color="auto" w:fill="575756"/>
          </w:tcPr>
          <w:p w:rsidR="007B7CDF" w:rsidRPr="00DC0DD5" w:rsidRDefault="007B7CDF" w:rsidP="005A49A9">
            <w:pPr>
              <w:spacing w:after="0"/>
              <w:rPr>
                <w:rFonts w:ascii="Arial" w:hAnsi="Arial" w:cs="Arial"/>
                <w:color w:val="FFFFFF" w:themeColor="background1"/>
                <w:sz w:val="24"/>
                <w:szCs w:val="24"/>
              </w:rPr>
            </w:pPr>
          </w:p>
        </w:tc>
        <w:tc>
          <w:tcPr>
            <w:tcW w:w="2273" w:type="dxa"/>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19-24 EHCP</w:t>
            </w:r>
          </w:p>
        </w:tc>
        <w:tc>
          <w:tcPr>
            <w:tcW w:w="1484"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269</w:t>
            </w:r>
          </w:p>
        </w:tc>
        <w:tc>
          <w:tcPr>
            <w:tcW w:w="1770" w:type="dxa"/>
            <w:vMerge/>
            <w:shd w:val="clear" w:color="auto" w:fill="575756"/>
          </w:tcPr>
          <w:p w:rsidR="007B7CDF" w:rsidRPr="00DC0DD5" w:rsidRDefault="007B7CDF" w:rsidP="005A49A9">
            <w:pPr>
              <w:spacing w:after="0"/>
              <w:jc w:val="center"/>
              <w:rPr>
                <w:rFonts w:ascii="Arial" w:hAnsi="Arial" w:cs="Arial"/>
                <w:color w:val="FFFFFF" w:themeColor="background1"/>
                <w:sz w:val="24"/>
                <w:szCs w:val="24"/>
              </w:rPr>
            </w:pPr>
          </w:p>
        </w:tc>
      </w:tr>
      <w:tr w:rsidR="007B7CDF" w:rsidRPr="00E5532D" w:rsidTr="005A49A9">
        <w:tc>
          <w:tcPr>
            <w:tcW w:w="1101" w:type="dxa"/>
            <w:vMerge/>
            <w:shd w:val="clear" w:color="auto" w:fill="575756"/>
          </w:tcPr>
          <w:p w:rsidR="007B7CDF" w:rsidRPr="00DC0DD5" w:rsidRDefault="007B7CDF" w:rsidP="005A49A9">
            <w:pPr>
              <w:spacing w:after="0"/>
              <w:jc w:val="center"/>
              <w:rPr>
                <w:rFonts w:ascii="Arial" w:hAnsi="Arial" w:cs="Arial"/>
                <w:b/>
                <w:color w:val="FFFFFF" w:themeColor="background1"/>
                <w:sz w:val="24"/>
                <w:szCs w:val="24"/>
              </w:rPr>
            </w:pPr>
          </w:p>
        </w:tc>
        <w:tc>
          <w:tcPr>
            <w:tcW w:w="3407" w:type="dxa"/>
            <w:gridSpan w:val="2"/>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SSF and Academies</w:t>
            </w:r>
          </w:p>
        </w:tc>
        <w:tc>
          <w:tcPr>
            <w:tcW w:w="1484"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4,950</w:t>
            </w:r>
          </w:p>
        </w:tc>
        <w:tc>
          <w:tcPr>
            <w:tcW w:w="1770"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433,882</w:t>
            </w:r>
          </w:p>
        </w:tc>
      </w:tr>
      <w:tr w:rsidR="007B7CDF" w:rsidRPr="00E5532D" w:rsidTr="005A49A9">
        <w:tc>
          <w:tcPr>
            <w:tcW w:w="1101" w:type="dxa"/>
            <w:vMerge/>
            <w:shd w:val="clear" w:color="auto" w:fill="575756"/>
          </w:tcPr>
          <w:p w:rsidR="007B7CDF" w:rsidRPr="00DC0DD5" w:rsidRDefault="007B7CDF" w:rsidP="005A49A9">
            <w:pPr>
              <w:spacing w:after="0"/>
              <w:jc w:val="center"/>
              <w:rPr>
                <w:rFonts w:ascii="Arial" w:hAnsi="Arial" w:cs="Arial"/>
                <w:b/>
                <w:color w:val="FFFFFF" w:themeColor="background1"/>
                <w:sz w:val="24"/>
                <w:szCs w:val="24"/>
              </w:rPr>
            </w:pPr>
          </w:p>
        </w:tc>
        <w:tc>
          <w:tcPr>
            <w:tcW w:w="3407" w:type="dxa"/>
            <w:gridSpan w:val="2"/>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16-18 Apprenticeships</w:t>
            </w:r>
          </w:p>
        </w:tc>
        <w:tc>
          <w:tcPr>
            <w:tcW w:w="1484"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3,641</w:t>
            </w:r>
          </w:p>
        </w:tc>
        <w:tc>
          <w:tcPr>
            <w:tcW w:w="1770" w:type="dxa"/>
            <w:shd w:val="clear" w:color="auto" w:fill="575756"/>
          </w:tcPr>
          <w:p w:rsidR="007B7CDF" w:rsidRPr="00DC0DD5" w:rsidRDefault="00C8050A"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131,42</w:t>
            </w:r>
            <w:r w:rsidR="007B7CDF" w:rsidRPr="00DC0DD5">
              <w:rPr>
                <w:rFonts w:ascii="Arial" w:hAnsi="Arial" w:cs="Arial"/>
                <w:color w:val="FFFFFF" w:themeColor="background1"/>
                <w:sz w:val="24"/>
                <w:szCs w:val="24"/>
              </w:rPr>
              <w:t>0</w:t>
            </w:r>
          </w:p>
        </w:tc>
      </w:tr>
      <w:tr w:rsidR="007B7CDF" w:rsidRPr="00E5532D" w:rsidTr="005A49A9">
        <w:tc>
          <w:tcPr>
            <w:tcW w:w="1101" w:type="dxa"/>
            <w:vMerge/>
            <w:shd w:val="clear" w:color="auto" w:fill="575756"/>
          </w:tcPr>
          <w:p w:rsidR="007B7CDF" w:rsidRPr="00DC0DD5" w:rsidRDefault="007B7CDF" w:rsidP="005A49A9">
            <w:pPr>
              <w:spacing w:after="0"/>
              <w:jc w:val="center"/>
              <w:rPr>
                <w:rFonts w:ascii="Arial" w:hAnsi="Arial" w:cs="Arial"/>
                <w:b/>
                <w:color w:val="FFFFFF" w:themeColor="background1"/>
                <w:sz w:val="24"/>
                <w:szCs w:val="24"/>
              </w:rPr>
            </w:pPr>
          </w:p>
        </w:tc>
        <w:tc>
          <w:tcPr>
            <w:tcW w:w="3407" w:type="dxa"/>
            <w:gridSpan w:val="2"/>
            <w:shd w:val="clear" w:color="auto" w:fill="575756"/>
          </w:tcPr>
          <w:p w:rsidR="007B7CDF" w:rsidRPr="00DC0DD5" w:rsidRDefault="007B7CDF" w:rsidP="005A49A9">
            <w:pPr>
              <w:spacing w:after="0"/>
              <w:rPr>
                <w:rFonts w:ascii="Arial" w:hAnsi="Arial" w:cs="Arial"/>
                <w:b/>
                <w:color w:val="FFFFFF" w:themeColor="background1"/>
                <w:sz w:val="24"/>
                <w:szCs w:val="24"/>
              </w:rPr>
            </w:pPr>
            <w:r w:rsidRPr="00DC0DD5">
              <w:rPr>
                <w:rFonts w:ascii="Arial" w:hAnsi="Arial" w:cs="Arial"/>
                <w:b/>
                <w:color w:val="FFFFFF" w:themeColor="background1"/>
                <w:sz w:val="24"/>
                <w:szCs w:val="24"/>
              </w:rPr>
              <w:t>Total</w:t>
            </w:r>
          </w:p>
        </w:tc>
        <w:tc>
          <w:tcPr>
            <w:tcW w:w="1484" w:type="dxa"/>
            <w:shd w:val="clear" w:color="auto" w:fill="575756"/>
          </w:tcPr>
          <w:p w:rsidR="007B7CDF" w:rsidRPr="00DC0DD5" w:rsidRDefault="007B7CDF" w:rsidP="005A49A9">
            <w:pPr>
              <w:spacing w:after="0"/>
              <w:jc w:val="center"/>
              <w:rPr>
                <w:rFonts w:ascii="Arial" w:hAnsi="Arial" w:cs="Arial"/>
                <w:b/>
                <w:color w:val="FFFFFF" w:themeColor="background1"/>
                <w:sz w:val="24"/>
                <w:szCs w:val="24"/>
              </w:rPr>
            </w:pPr>
            <w:r w:rsidRPr="00DC0DD5">
              <w:rPr>
                <w:rFonts w:ascii="Arial" w:hAnsi="Arial" w:cs="Arial"/>
                <w:b/>
                <w:color w:val="FFFFFF" w:themeColor="background1"/>
                <w:sz w:val="24"/>
                <w:szCs w:val="24"/>
              </w:rPr>
              <w:t>29,980</w:t>
            </w:r>
          </w:p>
        </w:tc>
        <w:tc>
          <w:tcPr>
            <w:tcW w:w="1770" w:type="dxa"/>
            <w:shd w:val="clear" w:color="auto" w:fill="575756"/>
          </w:tcPr>
          <w:p w:rsidR="007B7CDF" w:rsidRPr="00DC0DD5" w:rsidRDefault="007B7CDF" w:rsidP="00C8050A">
            <w:pPr>
              <w:spacing w:after="0"/>
              <w:jc w:val="center"/>
              <w:rPr>
                <w:rFonts w:ascii="Arial" w:hAnsi="Arial" w:cs="Arial"/>
                <w:b/>
                <w:color w:val="FFFFFF" w:themeColor="background1"/>
                <w:sz w:val="24"/>
                <w:szCs w:val="24"/>
              </w:rPr>
            </w:pPr>
            <w:r w:rsidRPr="00DC0DD5">
              <w:rPr>
                <w:rFonts w:ascii="Arial" w:hAnsi="Arial" w:cs="Arial"/>
                <w:b/>
                <w:color w:val="FFFFFF" w:themeColor="background1"/>
                <w:sz w:val="24"/>
                <w:szCs w:val="24"/>
              </w:rPr>
              <w:t>1,314,3</w:t>
            </w:r>
            <w:r w:rsidR="00C8050A">
              <w:rPr>
                <w:rFonts w:ascii="Arial" w:hAnsi="Arial" w:cs="Arial"/>
                <w:b/>
                <w:color w:val="FFFFFF" w:themeColor="background1"/>
                <w:sz w:val="24"/>
                <w:szCs w:val="24"/>
              </w:rPr>
              <w:t>2</w:t>
            </w:r>
            <w:r w:rsidRPr="00DC0DD5">
              <w:rPr>
                <w:rFonts w:ascii="Arial" w:hAnsi="Arial" w:cs="Arial"/>
                <w:b/>
                <w:color w:val="FFFFFF" w:themeColor="background1"/>
                <w:sz w:val="24"/>
                <w:szCs w:val="24"/>
              </w:rPr>
              <w:t>9</w:t>
            </w:r>
          </w:p>
        </w:tc>
      </w:tr>
      <w:tr w:rsidR="007B7CDF" w:rsidRPr="00E5532D" w:rsidTr="005809E3">
        <w:tc>
          <w:tcPr>
            <w:tcW w:w="1101" w:type="dxa"/>
            <w:vMerge w:val="restart"/>
            <w:shd w:val="clear" w:color="auto" w:fill="E0E0E0"/>
          </w:tcPr>
          <w:p w:rsidR="007B7CDF" w:rsidRPr="00E5532D" w:rsidRDefault="007B7CDF" w:rsidP="005A49A9">
            <w:pPr>
              <w:spacing w:after="0"/>
              <w:jc w:val="center"/>
              <w:rPr>
                <w:rFonts w:ascii="Arial" w:hAnsi="Arial" w:cs="Arial"/>
                <w:b/>
                <w:sz w:val="24"/>
                <w:szCs w:val="24"/>
              </w:rPr>
            </w:pPr>
            <w:r w:rsidRPr="00E5532D">
              <w:rPr>
                <w:rFonts w:ascii="Arial" w:hAnsi="Arial" w:cs="Arial"/>
                <w:b/>
                <w:sz w:val="24"/>
                <w:szCs w:val="24"/>
              </w:rPr>
              <w:t>2016/17</w:t>
            </w:r>
          </w:p>
        </w:tc>
        <w:tc>
          <w:tcPr>
            <w:tcW w:w="1134" w:type="dxa"/>
            <w:vMerge w:val="restart"/>
            <w:shd w:val="clear" w:color="auto" w:fill="E0E0E0"/>
          </w:tcPr>
          <w:p w:rsidR="007B7CDF" w:rsidRPr="00E5532D" w:rsidRDefault="007B7CDF" w:rsidP="005A49A9">
            <w:pPr>
              <w:spacing w:after="0"/>
              <w:rPr>
                <w:rFonts w:ascii="Arial" w:hAnsi="Arial" w:cs="Arial"/>
                <w:sz w:val="24"/>
                <w:szCs w:val="24"/>
              </w:rPr>
            </w:pPr>
            <w:r w:rsidRPr="00E5532D">
              <w:rPr>
                <w:rFonts w:ascii="Arial" w:hAnsi="Arial" w:cs="Arial"/>
                <w:sz w:val="24"/>
                <w:szCs w:val="24"/>
              </w:rPr>
              <w:t>FE</w:t>
            </w:r>
          </w:p>
        </w:tc>
        <w:tc>
          <w:tcPr>
            <w:tcW w:w="2273" w:type="dxa"/>
            <w:shd w:val="clear" w:color="auto" w:fill="E0E0E0"/>
          </w:tcPr>
          <w:p w:rsidR="007B7CDF" w:rsidRPr="00E5532D" w:rsidRDefault="007B7CDF" w:rsidP="005A49A9">
            <w:pPr>
              <w:spacing w:after="0"/>
              <w:rPr>
                <w:rFonts w:ascii="Arial" w:hAnsi="Arial" w:cs="Arial"/>
                <w:sz w:val="24"/>
                <w:szCs w:val="24"/>
              </w:rPr>
            </w:pPr>
            <w:r w:rsidRPr="00E5532D">
              <w:rPr>
                <w:rFonts w:ascii="Arial" w:hAnsi="Arial" w:cs="Arial"/>
                <w:sz w:val="24"/>
                <w:szCs w:val="24"/>
              </w:rPr>
              <w:t>16-18</w:t>
            </w:r>
          </w:p>
        </w:tc>
        <w:tc>
          <w:tcPr>
            <w:tcW w:w="1484" w:type="dxa"/>
            <w:shd w:val="clear" w:color="auto" w:fill="E0E0E0"/>
          </w:tcPr>
          <w:p w:rsidR="007B7CDF" w:rsidRPr="00E5532D" w:rsidRDefault="007B7CDF" w:rsidP="005A49A9">
            <w:pPr>
              <w:spacing w:after="0"/>
              <w:jc w:val="center"/>
              <w:rPr>
                <w:rFonts w:ascii="Arial" w:hAnsi="Arial" w:cs="Arial"/>
                <w:sz w:val="24"/>
                <w:szCs w:val="24"/>
              </w:rPr>
            </w:pPr>
            <w:r>
              <w:rPr>
                <w:rFonts w:ascii="Arial" w:hAnsi="Arial" w:cs="Arial"/>
                <w:sz w:val="24"/>
                <w:szCs w:val="24"/>
              </w:rPr>
              <w:t>20,017</w:t>
            </w:r>
          </w:p>
        </w:tc>
        <w:tc>
          <w:tcPr>
            <w:tcW w:w="1770" w:type="dxa"/>
            <w:vMerge w:val="restart"/>
            <w:shd w:val="clear" w:color="auto" w:fill="E0E0E0"/>
            <w:vAlign w:val="center"/>
          </w:tcPr>
          <w:p w:rsidR="007B7CDF" w:rsidRPr="00E5532D" w:rsidRDefault="007B7CDF" w:rsidP="00C8050A">
            <w:pPr>
              <w:spacing w:after="0"/>
              <w:jc w:val="center"/>
              <w:rPr>
                <w:rFonts w:ascii="Arial" w:hAnsi="Arial" w:cs="Arial"/>
                <w:sz w:val="24"/>
                <w:szCs w:val="24"/>
              </w:rPr>
            </w:pPr>
            <w:r w:rsidRPr="00E5532D">
              <w:rPr>
                <w:rFonts w:ascii="Arial" w:hAnsi="Arial" w:cs="Arial"/>
                <w:sz w:val="24"/>
                <w:szCs w:val="24"/>
              </w:rPr>
              <w:t>71</w:t>
            </w:r>
            <w:r w:rsidR="00C8050A">
              <w:rPr>
                <w:rFonts w:ascii="Arial" w:hAnsi="Arial" w:cs="Arial"/>
                <w:sz w:val="24"/>
                <w:szCs w:val="24"/>
              </w:rPr>
              <w:t>7</w:t>
            </w:r>
            <w:r w:rsidRPr="00E5532D">
              <w:rPr>
                <w:rFonts w:ascii="Arial" w:hAnsi="Arial" w:cs="Arial"/>
                <w:sz w:val="24"/>
                <w:szCs w:val="24"/>
              </w:rPr>
              <w:t>,</w:t>
            </w:r>
            <w:r w:rsidR="00C8050A">
              <w:rPr>
                <w:rFonts w:ascii="Arial" w:hAnsi="Arial" w:cs="Arial"/>
                <w:sz w:val="24"/>
                <w:szCs w:val="24"/>
              </w:rPr>
              <w:t>955</w:t>
            </w:r>
          </w:p>
        </w:tc>
      </w:tr>
      <w:tr w:rsidR="007B7CDF" w:rsidRPr="00E5532D" w:rsidTr="005809E3">
        <w:tc>
          <w:tcPr>
            <w:tcW w:w="1101" w:type="dxa"/>
            <w:vMerge/>
            <w:shd w:val="clear" w:color="auto" w:fill="E0E0E0"/>
          </w:tcPr>
          <w:p w:rsidR="007B7CDF" w:rsidRPr="00E5532D" w:rsidRDefault="007B7CDF" w:rsidP="005A49A9">
            <w:pPr>
              <w:spacing w:after="0"/>
              <w:jc w:val="center"/>
              <w:rPr>
                <w:rFonts w:ascii="Arial" w:hAnsi="Arial" w:cs="Arial"/>
                <w:b/>
                <w:sz w:val="24"/>
                <w:szCs w:val="24"/>
              </w:rPr>
            </w:pPr>
          </w:p>
        </w:tc>
        <w:tc>
          <w:tcPr>
            <w:tcW w:w="1134" w:type="dxa"/>
            <w:vMerge/>
            <w:shd w:val="clear" w:color="auto" w:fill="E0E0E0"/>
          </w:tcPr>
          <w:p w:rsidR="007B7CDF" w:rsidRPr="00E5532D" w:rsidRDefault="007B7CDF" w:rsidP="005A49A9">
            <w:pPr>
              <w:spacing w:after="0"/>
              <w:rPr>
                <w:rFonts w:ascii="Arial" w:hAnsi="Arial" w:cs="Arial"/>
                <w:sz w:val="24"/>
                <w:szCs w:val="24"/>
              </w:rPr>
            </w:pPr>
          </w:p>
        </w:tc>
        <w:tc>
          <w:tcPr>
            <w:tcW w:w="2273" w:type="dxa"/>
            <w:shd w:val="clear" w:color="auto" w:fill="E0E0E0"/>
          </w:tcPr>
          <w:p w:rsidR="007B7CDF" w:rsidRPr="00E5532D" w:rsidRDefault="007B7CDF" w:rsidP="005A49A9">
            <w:pPr>
              <w:spacing w:after="0"/>
              <w:rPr>
                <w:rFonts w:ascii="Arial" w:hAnsi="Arial" w:cs="Arial"/>
                <w:sz w:val="24"/>
                <w:szCs w:val="24"/>
              </w:rPr>
            </w:pPr>
            <w:r w:rsidRPr="00E5532D">
              <w:rPr>
                <w:rFonts w:ascii="Arial" w:hAnsi="Arial" w:cs="Arial"/>
                <w:sz w:val="24"/>
                <w:szCs w:val="24"/>
              </w:rPr>
              <w:t>19-24 EHCP</w:t>
            </w:r>
          </w:p>
        </w:tc>
        <w:tc>
          <w:tcPr>
            <w:tcW w:w="1484" w:type="dxa"/>
            <w:shd w:val="clear" w:color="auto" w:fill="E0E0E0"/>
          </w:tcPr>
          <w:p w:rsidR="007B7CDF" w:rsidRPr="00E5532D" w:rsidRDefault="007B7CDF" w:rsidP="005A49A9">
            <w:pPr>
              <w:spacing w:after="0"/>
              <w:jc w:val="center"/>
              <w:rPr>
                <w:rFonts w:ascii="Arial" w:hAnsi="Arial" w:cs="Arial"/>
                <w:sz w:val="24"/>
                <w:szCs w:val="24"/>
              </w:rPr>
            </w:pPr>
            <w:r w:rsidRPr="00E5532D">
              <w:rPr>
                <w:rFonts w:ascii="Arial" w:hAnsi="Arial" w:cs="Arial"/>
                <w:sz w:val="24"/>
                <w:szCs w:val="24"/>
              </w:rPr>
              <w:t>349</w:t>
            </w:r>
          </w:p>
        </w:tc>
        <w:tc>
          <w:tcPr>
            <w:tcW w:w="1770" w:type="dxa"/>
            <w:vMerge/>
            <w:shd w:val="clear" w:color="auto" w:fill="E0E0E0"/>
          </w:tcPr>
          <w:p w:rsidR="007B7CDF" w:rsidRPr="00E5532D" w:rsidRDefault="007B7CDF" w:rsidP="005A49A9">
            <w:pPr>
              <w:spacing w:after="0"/>
              <w:jc w:val="center"/>
              <w:rPr>
                <w:rFonts w:ascii="Arial" w:hAnsi="Arial" w:cs="Arial"/>
                <w:sz w:val="24"/>
                <w:szCs w:val="24"/>
              </w:rPr>
            </w:pPr>
          </w:p>
        </w:tc>
      </w:tr>
      <w:tr w:rsidR="007B7CDF" w:rsidRPr="00E5532D" w:rsidTr="005809E3">
        <w:tc>
          <w:tcPr>
            <w:tcW w:w="1101" w:type="dxa"/>
            <w:vMerge/>
            <w:shd w:val="clear" w:color="auto" w:fill="E0E0E0"/>
          </w:tcPr>
          <w:p w:rsidR="007B7CDF" w:rsidRPr="00E5532D" w:rsidRDefault="007B7CDF" w:rsidP="005A49A9">
            <w:pPr>
              <w:spacing w:after="0"/>
              <w:jc w:val="center"/>
              <w:rPr>
                <w:rFonts w:ascii="Arial" w:hAnsi="Arial" w:cs="Arial"/>
                <w:b/>
                <w:sz w:val="24"/>
                <w:szCs w:val="24"/>
              </w:rPr>
            </w:pPr>
          </w:p>
        </w:tc>
        <w:tc>
          <w:tcPr>
            <w:tcW w:w="3407" w:type="dxa"/>
            <w:gridSpan w:val="2"/>
            <w:shd w:val="clear" w:color="auto" w:fill="E0E0E0"/>
          </w:tcPr>
          <w:p w:rsidR="007B7CDF" w:rsidRPr="00E5532D" w:rsidRDefault="007B7CDF" w:rsidP="005A49A9">
            <w:pPr>
              <w:spacing w:after="0"/>
              <w:rPr>
                <w:rFonts w:ascii="Arial" w:hAnsi="Arial" w:cs="Arial"/>
                <w:sz w:val="24"/>
                <w:szCs w:val="24"/>
              </w:rPr>
            </w:pPr>
            <w:r w:rsidRPr="00E5532D">
              <w:rPr>
                <w:rFonts w:ascii="Arial" w:hAnsi="Arial" w:cs="Arial"/>
                <w:sz w:val="24"/>
                <w:szCs w:val="24"/>
              </w:rPr>
              <w:t>SSF and Academies</w:t>
            </w:r>
          </w:p>
        </w:tc>
        <w:tc>
          <w:tcPr>
            <w:tcW w:w="1484" w:type="dxa"/>
            <w:shd w:val="clear" w:color="auto" w:fill="E0E0E0"/>
          </w:tcPr>
          <w:p w:rsidR="007B7CDF" w:rsidRPr="00E5532D" w:rsidRDefault="007B7CDF" w:rsidP="005A49A9">
            <w:pPr>
              <w:spacing w:after="0"/>
              <w:jc w:val="center"/>
              <w:rPr>
                <w:rFonts w:ascii="Arial" w:hAnsi="Arial" w:cs="Arial"/>
                <w:sz w:val="24"/>
                <w:szCs w:val="24"/>
              </w:rPr>
            </w:pPr>
            <w:r>
              <w:rPr>
                <w:rFonts w:ascii="Arial" w:hAnsi="Arial" w:cs="Arial"/>
                <w:sz w:val="24"/>
                <w:szCs w:val="24"/>
              </w:rPr>
              <w:t>4,543</w:t>
            </w:r>
          </w:p>
        </w:tc>
        <w:tc>
          <w:tcPr>
            <w:tcW w:w="1770" w:type="dxa"/>
            <w:shd w:val="clear" w:color="auto" w:fill="E0E0E0"/>
          </w:tcPr>
          <w:p w:rsidR="007B7CDF" w:rsidRPr="00E5532D" w:rsidRDefault="00C8050A" w:rsidP="005A49A9">
            <w:pPr>
              <w:spacing w:after="0"/>
              <w:jc w:val="center"/>
              <w:rPr>
                <w:rFonts w:ascii="Arial" w:hAnsi="Arial" w:cs="Arial"/>
                <w:sz w:val="24"/>
                <w:szCs w:val="24"/>
              </w:rPr>
            </w:pPr>
            <w:r>
              <w:rPr>
                <w:rFonts w:ascii="Arial" w:hAnsi="Arial" w:cs="Arial"/>
                <w:sz w:val="24"/>
                <w:szCs w:val="24"/>
              </w:rPr>
              <w:t>423,232</w:t>
            </w:r>
          </w:p>
        </w:tc>
      </w:tr>
      <w:tr w:rsidR="007B7CDF" w:rsidRPr="00E5532D" w:rsidTr="005809E3">
        <w:tc>
          <w:tcPr>
            <w:tcW w:w="1101" w:type="dxa"/>
            <w:vMerge/>
            <w:shd w:val="clear" w:color="auto" w:fill="E0E0E0"/>
          </w:tcPr>
          <w:p w:rsidR="007B7CDF" w:rsidRPr="00E5532D" w:rsidRDefault="007B7CDF" w:rsidP="005A49A9">
            <w:pPr>
              <w:spacing w:after="0"/>
              <w:jc w:val="center"/>
              <w:rPr>
                <w:rFonts w:ascii="Arial" w:hAnsi="Arial" w:cs="Arial"/>
                <w:b/>
                <w:sz w:val="24"/>
                <w:szCs w:val="24"/>
              </w:rPr>
            </w:pPr>
          </w:p>
        </w:tc>
        <w:tc>
          <w:tcPr>
            <w:tcW w:w="3407" w:type="dxa"/>
            <w:gridSpan w:val="2"/>
            <w:shd w:val="clear" w:color="auto" w:fill="E0E0E0"/>
          </w:tcPr>
          <w:p w:rsidR="007B7CDF" w:rsidRPr="00E5532D" w:rsidRDefault="007B7CDF" w:rsidP="005A49A9">
            <w:pPr>
              <w:spacing w:after="0"/>
              <w:rPr>
                <w:rFonts w:ascii="Arial" w:hAnsi="Arial" w:cs="Arial"/>
                <w:sz w:val="24"/>
                <w:szCs w:val="24"/>
              </w:rPr>
            </w:pPr>
            <w:r w:rsidRPr="00E5532D">
              <w:rPr>
                <w:rFonts w:ascii="Arial" w:hAnsi="Arial" w:cs="Arial"/>
                <w:sz w:val="24"/>
                <w:szCs w:val="24"/>
              </w:rPr>
              <w:t>16-18 Apprenticeships</w:t>
            </w:r>
          </w:p>
        </w:tc>
        <w:tc>
          <w:tcPr>
            <w:tcW w:w="1484" w:type="dxa"/>
            <w:shd w:val="clear" w:color="auto" w:fill="E0E0E0"/>
          </w:tcPr>
          <w:p w:rsidR="007B7CDF" w:rsidRPr="005A49A9" w:rsidRDefault="005A49A9" w:rsidP="005A49A9">
            <w:pPr>
              <w:spacing w:after="0"/>
              <w:jc w:val="center"/>
              <w:rPr>
                <w:rFonts w:ascii="Arial" w:hAnsi="Arial" w:cs="Arial"/>
                <w:sz w:val="24"/>
                <w:szCs w:val="24"/>
              </w:rPr>
            </w:pPr>
            <w:r w:rsidRPr="005A49A9">
              <w:rPr>
                <w:rFonts w:ascii="Arial" w:hAnsi="Arial" w:cs="Arial"/>
                <w:sz w:val="24"/>
                <w:szCs w:val="24"/>
              </w:rPr>
              <w:t>3,600</w:t>
            </w:r>
          </w:p>
        </w:tc>
        <w:tc>
          <w:tcPr>
            <w:tcW w:w="1770" w:type="dxa"/>
            <w:shd w:val="clear" w:color="auto" w:fill="E0E0E0"/>
          </w:tcPr>
          <w:p w:rsidR="007B7CDF" w:rsidRPr="00C8050A" w:rsidRDefault="007B7CDF" w:rsidP="00C8050A">
            <w:pPr>
              <w:spacing w:after="0"/>
              <w:jc w:val="center"/>
              <w:rPr>
                <w:rFonts w:ascii="Arial" w:hAnsi="Arial" w:cs="Arial"/>
                <w:sz w:val="24"/>
                <w:szCs w:val="24"/>
              </w:rPr>
            </w:pPr>
            <w:r w:rsidRPr="00C8050A">
              <w:rPr>
                <w:rFonts w:ascii="Arial" w:hAnsi="Arial" w:cs="Arial"/>
                <w:sz w:val="24"/>
                <w:szCs w:val="24"/>
              </w:rPr>
              <w:t>12</w:t>
            </w:r>
            <w:r w:rsidR="00C8050A" w:rsidRPr="00C8050A">
              <w:rPr>
                <w:rFonts w:ascii="Arial" w:hAnsi="Arial" w:cs="Arial"/>
                <w:sz w:val="24"/>
                <w:szCs w:val="24"/>
              </w:rPr>
              <w:t>2,750</w:t>
            </w:r>
          </w:p>
        </w:tc>
      </w:tr>
      <w:tr w:rsidR="007B7CDF" w:rsidRPr="00E5532D" w:rsidTr="005809E3">
        <w:tc>
          <w:tcPr>
            <w:tcW w:w="1101" w:type="dxa"/>
            <w:vMerge/>
            <w:shd w:val="clear" w:color="auto" w:fill="E0E0E0"/>
          </w:tcPr>
          <w:p w:rsidR="007B7CDF" w:rsidRPr="00E5532D" w:rsidRDefault="007B7CDF" w:rsidP="005A49A9">
            <w:pPr>
              <w:spacing w:after="0"/>
              <w:jc w:val="center"/>
              <w:rPr>
                <w:rFonts w:ascii="Arial" w:hAnsi="Arial" w:cs="Arial"/>
                <w:b/>
                <w:sz w:val="24"/>
                <w:szCs w:val="24"/>
              </w:rPr>
            </w:pPr>
          </w:p>
        </w:tc>
        <w:tc>
          <w:tcPr>
            <w:tcW w:w="3407" w:type="dxa"/>
            <w:gridSpan w:val="2"/>
            <w:shd w:val="clear" w:color="auto" w:fill="E0E0E0"/>
          </w:tcPr>
          <w:p w:rsidR="007B7CDF" w:rsidRPr="00E5532D" w:rsidRDefault="007B7CDF" w:rsidP="005A49A9">
            <w:pPr>
              <w:spacing w:after="0"/>
              <w:rPr>
                <w:rFonts w:ascii="Arial" w:hAnsi="Arial" w:cs="Arial"/>
                <w:b/>
                <w:sz w:val="24"/>
                <w:szCs w:val="24"/>
              </w:rPr>
            </w:pPr>
            <w:r w:rsidRPr="00E5532D">
              <w:rPr>
                <w:rFonts w:ascii="Arial" w:hAnsi="Arial" w:cs="Arial"/>
                <w:b/>
                <w:sz w:val="24"/>
                <w:szCs w:val="24"/>
              </w:rPr>
              <w:t>Total</w:t>
            </w:r>
          </w:p>
        </w:tc>
        <w:tc>
          <w:tcPr>
            <w:tcW w:w="1484" w:type="dxa"/>
            <w:shd w:val="clear" w:color="auto" w:fill="E0E0E0"/>
          </w:tcPr>
          <w:p w:rsidR="007B7CDF" w:rsidRPr="005A49A9" w:rsidRDefault="007B7CDF" w:rsidP="005A49A9">
            <w:pPr>
              <w:spacing w:after="0"/>
              <w:jc w:val="center"/>
              <w:rPr>
                <w:rFonts w:ascii="Arial" w:hAnsi="Arial" w:cs="Arial"/>
                <w:b/>
                <w:sz w:val="24"/>
                <w:szCs w:val="24"/>
              </w:rPr>
            </w:pPr>
            <w:r w:rsidRPr="005A49A9">
              <w:rPr>
                <w:rFonts w:ascii="Arial" w:hAnsi="Arial" w:cs="Arial"/>
                <w:b/>
                <w:sz w:val="24"/>
                <w:szCs w:val="24"/>
              </w:rPr>
              <w:t>28,5</w:t>
            </w:r>
            <w:r w:rsidR="005A49A9" w:rsidRPr="005A49A9">
              <w:rPr>
                <w:rFonts w:ascii="Arial" w:hAnsi="Arial" w:cs="Arial"/>
                <w:b/>
                <w:sz w:val="24"/>
                <w:szCs w:val="24"/>
              </w:rPr>
              <w:t>09</w:t>
            </w:r>
          </w:p>
        </w:tc>
        <w:tc>
          <w:tcPr>
            <w:tcW w:w="1770" w:type="dxa"/>
            <w:shd w:val="clear" w:color="auto" w:fill="E0E0E0"/>
          </w:tcPr>
          <w:p w:rsidR="007B7CDF" w:rsidRPr="00C8050A" w:rsidRDefault="007B7CDF" w:rsidP="00C8050A">
            <w:pPr>
              <w:spacing w:after="0"/>
              <w:jc w:val="center"/>
              <w:rPr>
                <w:rFonts w:ascii="Arial" w:hAnsi="Arial" w:cs="Arial"/>
                <w:b/>
                <w:sz w:val="24"/>
                <w:szCs w:val="24"/>
              </w:rPr>
            </w:pPr>
            <w:r w:rsidRPr="00C8050A">
              <w:rPr>
                <w:rFonts w:ascii="Arial" w:hAnsi="Arial" w:cs="Arial"/>
                <w:b/>
                <w:sz w:val="24"/>
                <w:szCs w:val="24"/>
              </w:rPr>
              <w:t>1,2</w:t>
            </w:r>
            <w:r w:rsidR="00C8050A" w:rsidRPr="00C8050A">
              <w:rPr>
                <w:rFonts w:ascii="Arial" w:hAnsi="Arial" w:cs="Arial"/>
                <w:b/>
                <w:sz w:val="24"/>
                <w:szCs w:val="24"/>
              </w:rPr>
              <w:t>63,937</w:t>
            </w:r>
          </w:p>
        </w:tc>
      </w:tr>
      <w:tr w:rsidR="007B7CDF" w:rsidRPr="00E5532D" w:rsidTr="00C8050A">
        <w:tc>
          <w:tcPr>
            <w:tcW w:w="1101" w:type="dxa"/>
            <w:vMerge w:val="restart"/>
            <w:shd w:val="clear" w:color="auto" w:fill="575756"/>
          </w:tcPr>
          <w:p w:rsidR="007B7CDF" w:rsidRPr="00DC0DD5" w:rsidRDefault="007B7CDF" w:rsidP="005A49A9">
            <w:pPr>
              <w:spacing w:after="0"/>
              <w:jc w:val="center"/>
              <w:rPr>
                <w:rFonts w:ascii="Arial" w:hAnsi="Arial" w:cs="Arial"/>
                <w:b/>
                <w:color w:val="FFFFFF" w:themeColor="background1"/>
                <w:sz w:val="24"/>
                <w:szCs w:val="24"/>
              </w:rPr>
            </w:pPr>
            <w:r w:rsidRPr="00DC0DD5">
              <w:rPr>
                <w:rFonts w:ascii="Arial" w:hAnsi="Arial" w:cs="Arial"/>
                <w:b/>
                <w:color w:val="FFFFFF" w:themeColor="background1"/>
                <w:sz w:val="24"/>
                <w:szCs w:val="24"/>
              </w:rPr>
              <w:t>2017/18</w:t>
            </w:r>
          </w:p>
        </w:tc>
        <w:tc>
          <w:tcPr>
            <w:tcW w:w="1134" w:type="dxa"/>
            <w:vMerge w:val="restart"/>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FE</w:t>
            </w:r>
          </w:p>
        </w:tc>
        <w:tc>
          <w:tcPr>
            <w:tcW w:w="2273" w:type="dxa"/>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16-18</w:t>
            </w:r>
          </w:p>
        </w:tc>
        <w:tc>
          <w:tcPr>
            <w:tcW w:w="1484"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19,734</w:t>
            </w:r>
          </w:p>
        </w:tc>
        <w:tc>
          <w:tcPr>
            <w:tcW w:w="1770" w:type="dxa"/>
            <w:vMerge w:val="restart"/>
            <w:shd w:val="clear" w:color="auto" w:fill="575756"/>
            <w:vAlign w:val="center"/>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707,590</w:t>
            </w:r>
          </w:p>
        </w:tc>
      </w:tr>
      <w:tr w:rsidR="007B7CDF" w:rsidRPr="00E5532D" w:rsidTr="005A49A9">
        <w:tc>
          <w:tcPr>
            <w:tcW w:w="1101" w:type="dxa"/>
            <w:vMerge/>
            <w:shd w:val="clear" w:color="auto" w:fill="575756"/>
          </w:tcPr>
          <w:p w:rsidR="007B7CDF" w:rsidRPr="00DC0DD5" w:rsidRDefault="007B7CDF" w:rsidP="005A49A9">
            <w:pPr>
              <w:spacing w:after="0"/>
              <w:jc w:val="center"/>
              <w:rPr>
                <w:rFonts w:ascii="Arial" w:hAnsi="Arial" w:cs="Arial"/>
                <w:b/>
                <w:color w:val="FFFFFF" w:themeColor="background1"/>
                <w:sz w:val="24"/>
                <w:szCs w:val="24"/>
              </w:rPr>
            </w:pPr>
          </w:p>
        </w:tc>
        <w:tc>
          <w:tcPr>
            <w:tcW w:w="1134" w:type="dxa"/>
            <w:vMerge/>
            <w:shd w:val="clear" w:color="auto" w:fill="575756"/>
          </w:tcPr>
          <w:p w:rsidR="007B7CDF" w:rsidRPr="00DC0DD5" w:rsidRDefault="007B7CDF" w:rsidP="005A49A9">
            <w:pPr>
              <w:spacing w:after="0"/>
              <w:rPr>
                <w:rFonts w:ascii="Arial" w:hAnsi="Arial" w:cs="Arial"/>
                <w:color w:val="FFFFFF" w:themeColor="background1"/>
                <w:sz w:val="24"/>
                <w:szCs w:val="24"/>
              </w:rPr>
            </w:pPr>
          </w:p>
        </w:tc>
        <w:tc>
          <w:tcPr>
            <w:tcW w:w="2273" w:type="dxa"/>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19-24 EHCP</w:t>
            </w:r>
          </w:p>
        </w:tc>
        <w:tc>
          <w:tcPr>
            <w:tcW w:w="1484"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359</w:t>
            </w:r>
          </w:p>
        </w:tc>
        <w:tc>
          <w:tcPr>
            <w:tcW w:w="1770" w:type="dxa"/>
            <w:vMerge/>
            <w:shd w:val="clear" w:color="auto" w:fill="575756"/>
          </w:tcPr>
          <w:p w:rsidR="007B7CDF" w:rsidRPr="00DC0DD5" w:rsidRDefault="007B7CDF" w:rsidP="005A49A9">
            <w:pPr>
              <w:spacing w:after="0"/>
              <w:jc w:val="center"/>
              <w:rPr>
                <w:rFonts w:ascii="Arial" w:hAnsi="Arial" w:cs="Arial"/>
                <w:color w:val="FFFFFF" w:themeColor="background1"/>
                <w:sz w:val="24"/>
                <w:szCs w:val="24"/>
              </w:rPr>
            </w:pPr>
          </w:p>
        </w:tc>
      </w:tr>
      <w:tr w:rsidR="007B7CDF" w:rsidRPr="00E5532D" w:rsidTr="005A49A9">
        <w:tc>
          <w:tcPr>
            <w:tcW w:w="1101" w:type="dxa"/>
            <w:vMerge/>
            <w:shd w:val="clear" w:color="auto" w:fill="575756"/>
          </w:tcPr>
          <w:p w:rsidR="007B7CDF" w:rsidRPr="00DC0DD5" w:rsidRDefault="007B7CDF" w:rsidP="005A49A9">
            <w:pPr>
              <w:spacing w:after="0"/>
              <w:jc w:val="center"/>
              <w:rPr>
                <w:rFonts w:ascii="Arial" w:hAnsi="Arial" w:cs="Arial"/>
                <w:b/>
                <w:color w:val="FFFFFF" w:themeColor="background1"/>
                <w:sz w:val="24"/>
                <w:szCs w:val="24"/>
              </w:rPr>
            </w:pPr>
          </w:p>
        </w:tc>
        <w:tc>
          <w:tcPr>
            <w:tcW w:w="3407" w:type="dxa"/>
            <w:gridSpan w:val="2"/>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SSF and Academies</w:t>
            </w:r>
          </w:p>
        </w:tc>
        <w:tc>
          <w:tcPr>
            <w:tcW w:w="1484"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4,103</w:t>
            </w:r>
          </w:p>
        </w:tc>
        <w:tc>
          <w:tcPr>
            <w:tcW w:w="1770"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409,352</w:t>
            </w:r>
          </w:p>
        </w:tc>
      </w:tr>
      <w:tr w:rsidR="007B7CDF" w:rsidRPr="00E5532D" w:rsidTr="005A49A9">
        <w:tc>
          <w:tcPr>
            <w:tcW w:w="1101" w:type="dxa"/>
            <w:vMerge/>
            <w:shd w:val="clear" w:color="auto" w:fill="575756"/>
          </w:tcPr>
          <w:p w:rsidR="007B7CDF" w:rsidRPr="00DC0DD5" w:rsidRDefault="007B7CDF" w:rsidP="005A49A9">
            <w:pPr>
              <w:spacing w:after="0"/>
              <w:jc w:val="center"/>
              <w:rPr>
                <w:rFonts w:ascii="Arial" w:hAnsi="Arial" w:cs="Arial"/>
                <w:b/>
                <w:color w:val="FFFFFF" w:themeColor="background1"/>
                <w:sz w:val="24"/>
                <w:szCs w:val="24"/>
              </w:rPr>
            </w:pPr>
          </w:p>
        </w:tc>
        <w:tc>
          <w:tcPr>
            <w:tcW w:w="3407" w:type="dxa"/>
            <w:gridSpan w:val="2"/>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16-18 Apprenticeships</w:t>
            </w:r>
          </w:p>
        </w:tc>
        <w:tc>
          <w:tcPr>
            <w:tcW w:w="1484" w:type="dxa"/>
            <w:shd w:val="clear" w:color="auto" w:fill="575756"/>
          </w:tcPr>
          <w:p w:rsidR="007B7CDF" w:rsidRPr="00DC0DD5" w:rsidRDefault="005A49A9"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3,064</w:t>
            </w:r>
          </w:p>
        </w:tc>
        <w:tc>
          <w:tcPr>
            <w:tcW w:w="1770" w:type="dxa"/>
            <w:shd w:val="clear" w:color="auto" w:fill="575756"/>
          </w:tcPr>
          <w:p w:rsidR="007B7CDF" w:rsidRPr="00DC0DD5" w:rsidRDefault="00C8050A"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106,570</w:t>
            </w:r>
          </w:p>
        </w:tc>
      </w:tr>
      <w:tr w:rsidR="007B7CDF" w:rsidRPr="00E5532D" w:rsidTr="005A49A9">
        <w:tc>
          <w:tcPr>
            <w:tcW w:w="1101" w:type="dxa"/>
            <w:vMerge/>
            <w:shd w:val="clear" w:color="auto" w:fill="575756"/>
          </w:tcPr>
          <w:p w:rsidR="007B7CDF" w:rsidRPr="00DC0DD5" w:rsidRDefault="007B7CDF" w:rsidP="005A49A9">
            <w:pPr>
              <w:spacing w:after="0"/>
              <w:jc w:val="center"/>
              <w:rPr>
                <w:rFonts w:ascii="Arial" w:hAnsi="Arial" w:cs="Arial"/>
                <w:b/>
                <w:color w:val="FFFFFF" w:themeColor="background1"/>
                <w:sz w:val="24"/>
                <w:szCs w:val="24"/>
              </w:rPr>
            </w:pPr>
          </w:p>
        </w:tc>
        <w:tc>
          <w:tcPr>
            <w:tcW w:w="3407" w:type="dxa"/>
            <w:gridSpan w:val="2"/>
            <w:shd w:val="clear" w:color="auto" w:fill="575756"/>
          </w:tcPr>
          <w:p w:rsidR="007B7CDF" w:rsidRPr="00DC0DD5" w:rsidRDefault="007B7CDF" w:rsidP="005A49A9">
            <w:pPr>
              <w:spacing w:after="0"/>
              <w:rPr>
                <w:rFonts w:ascii="Arial" w:hAnsi="Arial" w:cs="Arial"/>
                <w:b/>
                <w:color w:val="FFFFFF" w:themeColor="background1"/>
                <w:sz w:val="24"/>
                <w:szCs w:val="24"/>
              </w:rPr>
            </w:pPr>
            <w:r w:rsidRPr="00DC0DD5">
              <w:rPr>
                <w:rFonts w:ascii="Arial" w:hAnsi="Arial" w:cs="Arial"/>
                <w:b/>
                <w:color w:val="FFFFFF" w:themeColor="background1"/>
                <w:sz w:val="24"/>
                <w:szCs w:val="24"/>
              </w:rPr>
              <w:t>Total</w:t>
            </w:r>
          </w:p>
        </w:tc>
        <w:tc>
          <w:tcPr>
            <w:tcW w:w="1484" w:type="dxa"/>
            <w:shd w:val="clear" w:color="auto" w:fill="575756"/>
          </w:tcPr>
          <w:p w:rsidR="007B7CDF" w:rsidRPr="00DC0DD5" w:rsidRDefault="005A49A9" w:rsidP="005A49A9">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27,260</w:t>
            </w:r>
          </w:p>
        </w:tc>
        <w:tc>
          <w:tcPr>
            <w:tcW w:w="1770" w:type="dxa"/>
            <w:shd w:val="clear" w:color="auto" w:fill="575756"/>
          </w:tcPr>
          <w:p w:rsidR="007B7CDF" w:rsidRPr="00DC0DD5" w:rsidRDefault="00C8050A" w:rsidP="005A49A9">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1,223,512</w:t>
            </w:r>
          </w:p>
        </w:tc>
      </w:tr>
      <w:tr w:rsidR="007B7CDF" w:rsidRPr="00E5532D" w:rsidTr="005809E3">
        <w:tc>
          <w:tcPr>
            <w:tcW w:w="4508" w:type="dxa"/>
            <w:gridSpan w:val="3"/>
            <w:shd w:val="clear" w:color="auto" w:fill="E0E0E0"/>
          </w:tcPr>
          <w:p w:rsidR="007B7CDF" w:rsidRPr="00E5532D" w:rsidRDefault="007B7CDF" w:rsidP="005A49A9">
            <w:pPr>
              <w:spacing w:after="0"/>
              <w:jc w:val="center"/>
              <w:rPr>
                <w:rFonts w:ascii="Arial" w:hAnsi="Arial" w:cs="Arial"/>
                <w:b/>
                <w:sz w:val="24"/>
                <w:szCs w:val="24"/>
              </w:rPr>
            </w:pPr>
            <w:r w:rsidRPr="00E5532D">
              <w:rPr>
                <w:rFonts w:ascii="Arial" w:hAnsi="Arial" w:cs="Arial"/>
                <w:b/>
                <w:sz w:val="24"/>
                <w:szCs w:val="24"/>
              </w:rPr>
              <w:t>% change from 2016/17 to 2017/18</w:t>
            </w:r>
          </w:p>
        </w:tc>
        <w:tc>
          <w:tcPr>
            <w:tcW w:w="1484" w:type="dxa"/>
            <w:shd w:val="clear" w:color="auto" w:fill="E0E0E0"/>
          </w:tcPr>
          <w:p w:rsidR="007B7CDF" w:rsidRPr="00C8050A" w:rsidRDefault="00C8050A" w:rsidP="00C8050A">
            <w:pPr>
              <w:tabs>
                <w:tab w:val="left" w:pos="468"/>
                <w:tab w:val="center" w:pos="634"/>
              </w:tabs>
              <w:spacing w:after="0"/>
              <w:jc w:val="center"/>
              <w:rPr>
                <w:rFonts w:ascii="Arial" w:hAnsi="Arial" w:cs="Arial"/>
                <w:b/>
                <w:sz w:val="24"/>
                <w:szCs w:val="24"/>
              </w:rPr>
            </w:pPr>
            <w:r>
              <w:rPr>
                <w:rFonts w:ascii="Arial" w:hAnsi="Arial" w:cs="Arial"/>
                <w:b/>
                <w:sz w:val="24"/>
                <w:szCs w:val="24"/>
              </w:rPr>
              <w:t>-4.4%</w:t>
            </w:r>
          </w:p>
        </w:tc>
        <w:tc>
          <w:tcPr>
            <w:tcW w:w="1770" w:type="dxa"/>
            <w:shd w:val="clear" w:color="auto" w:fill="E0E0E0"/>
          </w:tcPr>
          <w:p w:rsidR="007B7CDF" w:rsidRPr="00C8050A" w:rsidRDefault="00C8050A" w:rsidP="005A49A9">
            <w:pPr>
              <w:spacing w:after="0"/>
              <w:jc w:val="center"/>
              <w:rPr>
                <w:rFonts w:ascii="Arial" w:hAnsi="Arial" w:cs="Arial"/>
                <w:b/>
                <w:sz w:val="24"/>
                <w:szCs w:val="24"/>
              </w:rPr>
            </w:pPr>
            <w:r>
              <w:rPr>
                <w:rFonts w:ascii="Arial" w:hAnsi="Arial" w:cs="Arial"/>
                <w:b/>
                <w:sz w:val="24"/>
                <w:szCs w:val="24"/>
              </w:rPr>
              <w:t>-3.2</w:t>
            </w:r>
            <w:r w:rsidR="007B7CDF" w:rsidRPr="00C8050A">
              <w:rPr>
                <w:rFonts w:ascii="Arial" w:hAnsi="Arial" w:cs="Arial"/>
                <w:b/>
                <w:sz w:val="24"/>
                <w:szCs w:val="24"/>
              </w:rPr>
              <w:t>%</w:t>
            </w:r>
          </w:p>
        </w:tc>
      </w:tr>
    </w:tbl>
    <w:p w:rsidR="00136C49" w:rsidRPr="001636E1" w:rsidRDefault="00136C49" w:rsidP="007B7CDF">
      <w:pPr>
        <w:spacing w:after="0"/>
        <w:rPr>
          <w:rFonts w:ascii="Arial" w:hAnsi="Arial" w:cs="Arial"/>
          <w:sz w:val="24"/>
          <w:szCs w:val="24"/>
        </w:rPr>
      </w:pPr>
      <w:r>
        <w:rPr>
          <w:rFonts w:ascii="Arial" w:hAnsi="Arial" w:cs="Arial"/>
          <w:sz w:val="24"/>
          <w:szCs w:val="24"/>
        </w:rPr>
        <w:tab/>
        <w:t>16-18 Apprenticeships relates to starts in the relevant academic year</w:t>
      </w:r>
    </w:p>
    <w:p w:rsidR="00727704" w:rsidRDefault="00727704" w:rsidP="007B7CDF">
      <w:pPr>
        <w:spacing w:after="0"/>
        <w:rPr>
          <w:rFonts w:ascii="Arial" w:hAnsi="Arial" w:cs="Arial"/>
          <w:sz w:val="24"/>
          <w:szCs w:val="24"/>
        </w:rPr>
      </w:pPr>
    </w:p>
    <w:p w:rsidR="007B7CDF" w:rsidRPr="0092213A" w:rsidRDefault="007B7CDF" w:rsidP="007B7CDF">
      <w:pPr>
        <w:spacing w:after="0"/>
        <w:rPr>
          <w:rFonts w:ascii="Arial" w:hAnsi="Arial" w:cs="Arial"/>
          <w:sz w:val="24"/>
          <w:szCs w:val="24"/>
        </w:rPr>
      </w:pPr>
      <w:r w:rsidRPr="001636E1">
        <w:rPr>
          <w:rFonts w:ascii="Arial" w:hAnsi="Arial" w:cs="Arial"/>
          <w:sz w:val="24"/>
          <w:szCs w:val="24"/>
        </w:rPr>
        <w:t>Participation by education and training routes from 201</w:t>
      </w:r>
      <w:r>
        <w:rPr>
          <w:rFonts w:ascii="Arial" w:hAnsi="Arial" w:cs="Arial"/>
          <w:sz w:val="24"/>
          <w:szCs w:val="24"/>
        </w:rPr>
        <w:t>6/17</w:t>
      </w:r>
      <w:r w:rsidRPr="001636E1">
        <w:rPr>
          <w:rFonts w:ascii="Arial" w:hAnsi="Arial" w:cs="Arial"/>
          <w:sz w:val="24"/>
          <w:szCs w:val="24"/>
        </w:rPr>
        <w:t xml:space="preserve"> to 201</w:t>
      </w:r>
      <w:r>
        <w:rPr>
          <w:rFonts w:ascii="Arial" w:hAnsi="Arial" w:cs="Arial"/>
          <w:sz w:val="24"/>
          <w:szCs w:val="24"/>
        </w:rPr>
        <w:t>7/18</w:t>
      </w:r>
      <w:r w:rsidRPr="0092213A">
        <w:rPr>
          <w:rFonts w:ascii="Arial" w:hAnsi="Arial" w:cs="Arial"/>
          <w:sz w:val="24"/>
          <w:szCs w:val="24"/>
        </w:rPr>
        <w:t>:</w:t>
      </w:r>
    </w:p>
    <w:p w:rsidR="007B7CDF" w:rsidRPr="00603A3B" w:rsidRDefault="007B7CDF" w:rsidP="007B7CDF">
      <w:pPr>
        <w:spacing w:after="0"/>
        <w:rPr>
          <w:rFonts w:ascii="Arial" w:hAnsi="Arial" w:cs="Arial"/>
          <w:sz w:val="24"/>
          <w:szCs w:val="24"/>
        </w:rPr>
      </w:pPr>
    </w:p>
    <w:p w:rsidR="007B7CDF" w:rsidRPr="00603A3B" w:rsidRDefault="007B7CDF" w:rsidP="007B7CDF">
      <w:pPr>
        <w:numPr>
          <w:ilvl w:val="0"/>
          <w:numId w:val="15"/>
        </w:numPr>
        <w:spacing w:after="0" w:line="240" w:lineRule="auto"/>
        <w:rPr>
          <w:rFonts w:ascii="Arial" w:hAnsi="Arial" w:cs="Arial"/>
          <w:sz w:val="24"/>
          <w:szCs w:val="24"/>
        </w:rPr>
      </w:pPr>
      <w:r w:rsidRPr="00603A3B">
        <w:rPr>
          <w:rFonts w:ascii="Arial" w:hAnsi="Arial" w:cs="Arial"/>
          <w:sz w:val="24"/>
          <w:szCs w:val="24"/>
        </w:rPr>
        <w:t>Overall, Lancashire has seen a reduction in participation of 4.</w:t>
      </w:r>
      <w:r w:rsidR="00C8050A" w:rsidRPr="00603A3B">
        <w:rPr>
          <w:rFonts w:ascii="Arial" w:hAnsi="Arial" w:cs="Arial"/>
          <w:sz w:val="24"/>
          <w:szCs w:val="24"/>
        </w:rPr>
        <w:t>4</w:t>
      </w:r>
      <w:r w:rsidRPr="00603A3B">
        <w:rPr>
          <w:rFonts w:ascii="Arial" w:hAnsi="Arial" w:cs="Arial"/>
          <w:sz w:val="24"/>
          <w:szCs w:val="24"/>
        </w:rPr>
        <w:t xml:space="preserve">%, which compares </w:t>
      </w:r>
      <w:r w:rsidR="00C8050A" w:rsidRPr="00603A3B">
        <w:rPr>
          <w:rFonts w:ascii="Arial" w:hAnsi="Arial" w:cs="Arial"/>
          <w:sz w:val="24"/>
          <w:szCs w:val="24"/>
        </w:rPr>
        <w:t>to the national reduction of 3.2</w:t>
      </w:r>
      <w:r w:rsidRPr="00603A3B">
        <w:rPr>
          <w:rFonts w:ascii="Arial" w:hAnsi="Arial" w:cs="Arial"/>
          <w:sz w:val="24"/>
          <w:szCs w:val="24"/>
        </w:rPr>
        <w:t xml:space="preserve">%.  The </w:t>
      </w:r>
      <w:r w:rsidR="00C8050A" w:rsidRPr="00603A3B">
        <w:rPr>
          <w:rFonts w:ascii="Arial" w:hAnsi="Arial" w:cs="Arial"/>
          <w:sz w:val="24"/>
          <w:szCs w:val="24"/>
        </w:rPr>
        <w:t xml:space="preserve">most significant </w:t>
      </w:r>
      <w:r w:rsidRPr="00603A3B">
        <w:rPr>
          <w:rFonts w:ascii="Arial" w:hAnsi="Arial" w:cs="Arial"/>
          <w:sz w:val="24"/>
          <w:szCs w:val="24"/>
        </w:rPr>
        <w:t xml:space="preserve">reduction in Lancashire relates to 16-18 </w:t>
      </w:r>
      <w:r w:rsidR="00C8050A" w:rsidRPr="00603A3B">
        <w:rPr>
          <w:rFonts w:ascii="Arial" w:hAnsi="Arial" w:cs="Arial"/>
          <w:sz w:val="24"/>
          <w:szCs w:val="24"/>
        </w:rPr>
        <w:t>Apprenticeship</w:t>
      </w:r>
      <w:r w:rsidR="00136C49">
        <w:rPr>
          <w:rFonts w:ascii="Arial" w:hAnsi="Arial" w:cs="Arial"/>
          <w:sz w:val="24"/>
          <w:szCs w:val="24"/>
        </w:rPr>
        <w:t xml:space="preserve"> </w:t>
      </w:r>
      <w:r w:rsidR="00C8050A" w:rsidRPr="00603A3B">
        <w:rPr>
          <w:rFonts w:ascii="Arial" w:hAnsi="Arial" w:cs="Arial"/>
          <w:sz w:val="24"/>
          <w:szCs w:val="24"/>
        </w:rPr>
        <w:t>s</w:t>
      </w:r>
      <w:r w:rsidR="00136C49">
        <w:rPr>
          <w:rFonts w:ascii="Arial" w:hAnsi="Arial" w:cs="Arial"/>
          <w:sz w:val="24"/>
          <w:szCs w:val="24"/>
        </w:rPr>
        <w:t>tarts</w:t>
      </w:r>
      <w:r w:rsidR="00C8050A" w:rsidRPr="00603A3B">
        <w:rPr>
          <w:rFonts w:ascii="Arial" w:hAnsi="Arial" w:cs="Arial"/>
          <w:sz w:val="24"/>
          <w:szCs w:val="24"/>
        </w:rPr>
        <w:t xml:space="preserve"> and this is in line with the national position </w:t>
      </w:r>
    </w:p>
    <w:p w:rsidR="007B7CDF" w:rsidRPr="00603A3B" w:rsidRDefault="007B7CDF" w:rsidP="007B7CDF">
      <w:pPr>
        <w:numPr>
          <w:ilvl w:val="0"/>
          <w:numId w:val="15"/>
        </w:numPr>
        <w:spacing w:after="0" w:line="240" w:lineRule="auto"/>
        <w:rPr>
          <w:rFonts w:ascii="Arial" w:hAnsi="Arial" w:cs="Arial"/>
          <w:sz w:val="24"/>
          <w:szCs w:val="24"/>
        </w:rPr>
      </w:pPr>
      <w:r w:rsidRPr="00603A3B">
        <w:rPr>
          <w:rFonts w:ascii="Arial" w:hAnsi="Arial" w:cs="Arial"/>
          <w:sz w:val="24"/>
          <w:szCs w:val="24"/>
        </w:rPr>
        <w:t>The proportion of Lancashire residents participating in the education and training routes above is as follows (national figures in brackets): 16-19 FE and 19-24 with EHCP is 7</w:t>
      </w:r>
      <w:r w:rsidR="00603A3B" w:rsidRPr="00603A3B">
        <w:rPr>
          <w:rFonts w:ascii="Arial" w:hAnsi="Arial" w:cs="Arial"/>
          <w:sz w:val="24"/>
          <w:szCs w:val="24"/>
        </w:rPr>
        <w:t>3.7</w:t>
      </w:r>
      <w:r w:rsidRPr="00603A3B">
        <w:rPr>
          <w:rFonts w:ascii="Arial" w:hAnsi="Arial" w:cs="Arial"/>
          <w:sz w:val="24"/>
          <w:szCs w:val="24"/>
        </w:rPr>
        <w:t>% (</w:t>
      </w:r>
      <w:r w:rsidR="00603A3B" w:rsidRPr="00603A3B">
        <w:rPr>
          <w:rFonts w:ascii="Arial" w:hAnsi="Arial" w:cs="Arial"/>
          <w:sz w:val="24"/>
          <w:szCs w:val="24"/>
        </w:rPr>
        <w:t>57.8</w:t>
      </w:r>
      <w:r w:rsidRPr="00603A3B">
        <w:rPr>
          <w:rFonts w:ascii="Arial" w:hAnsi="Arial" w:cs="Arial"/>
          <w:sz w:val="24"/>
          <w:szCs w:val="24"/>
        </w:rPr>
        <w:t>%), SSF and Academies is 1</w:t>
      </w:r>
      <w:r w:rsidR="00603A3B" w:rsidRPr="00603A3B">
        <w:rPr>
          <w:rFonts w:ascii="Arial" w:hAnsi="Arial" w:cs="Arial"/>
          <w:sz w:val="24"/>
          <w:szCs w:val="24"/>
        </w:rPr>
        <w:t>5.1</w:t>
      </w:r>
      <w:r w:rsidRPr="00603A3B">
        <w:rPr>
          <w:rFonts w:ascii="Arial" w:hAnsi="Arial" w:cs="Arial"/>
          <w:sz w:val="24"/>
          <w:szCs w:val="24"/>
        </w:rPr>
        <w:t>% (33.</w:t>
      </w:r>
      <w:r w:rsidR="00603A3B" w:rsidRPr="00603A3B">
        <w:rPr>
          <w:rFonts w:ascii="Arial" w:hAnsi="Arial" w:cs="Arial"/>
          <w:sz w:val="24"/>
          <w:szCs w:val="24"/>
        </w:rPr>
        <w:t>5</w:t>
      </w:r>
      <w:r w:rsidRPr="00603A3B">
        <w:rPr>
          <w:rFonts w:ascii="Arial" w:hAnsi="Arial" w:cs="Arial"/>
          <w:sz w:val="24"/>
          <w:szCs w:val="24"/>
        </w:rPr>
        <w:t>%) and 16-18 Apprenticeship</w:t>
      </w:r>
      <w:r w:rsidR="00136C49">
        <w:rPr>
          <w:rFonts w:ascii="Arial" w:hAnsi="Arial" w:cs="Arial"/>
          <w:sz w:val="24"/>
          <w:szCs w:val="24"/>
        </w:rPr>
        <w:t xml:space="preserve"> </w:t>
      </w:r>
      <w:r w:rsidRPr="00603A3B">
        <w:rPr>
          <w:rFonts w:ascii="Arial" w:hAnsi="Arial" w:cs="Arial"/>
          <w:sz w:val="24"/>
          <w:szCs w:val="24"/>
        </w:rPr>
        <w:t>s</w:t>
      </w:r>
      <w:r w:rsidR="00136C49">
        <w:rPr>
          <w:rFonts w:ascii="Arial" w:hAnsi="Arial" w:cs="Arial"/>
          <w:sz w:val="24"/>
          <w:szCs w:val="24"/>
        </w:rPr>
        <w:t>tarts</w:t>
      </w:r>
      <w:r w:rsidRPr="00603A3B">
        <w:rPr>
          <w:rFonts w:ascii="Arial" w:hAnsi="Arial" w:cs="Arial"/>
          <w:sz w:val="24"/>
          <w:szCs w:val="24"/>
        </w:rPr>
        <w:t xml:space="preserve"> is 1</w:t>
      </w:r>
      <w:r w:rsidR="00603A3B" w:rsidRPr="00603A3B">
        <w:rPr>
          <w:rFonts w:ascii="Arial" w:hAnsi="Arial" w:cs="Arial"/>
          <w:sz w:val="24"/>
          <w:szCs w:val="24"/>
        </w:rPr>
        <w:t>1.2</w:t>
      </w:r>
      <w:r w:rsidRPr="00603A3B">
        <w:rPr>
          <w:rFonts w:ascii="Arial" w:hAnsi="Arial" w:cs="Arial"/>
          <w:sz w:val="24"/>
          <w:szCs w:val="24"/>
        </w:rPr>
        <w:t>% (</w:t>
      </w:r>
      <w:r w:rsidR="00603A3B" w:rsidRPr="00603A3B">
        <w:rPr>
          <w:rFonts w:ascii="Arial" w:hAnsi="Arial" w:cs="Arial"/>
          <w:sz w:val="24"/>
          <w:szCs w:val="24"/>
        </w:rPr>
        <w:t>8</w:t>
      </w:r>
      <w:r w:rsidRPr="00603A3B">
        <w:rPr>
          <w:rFonts w:ascii="Arial" w:hAnsi="Arial" w:cs="Arial"/>
          <w:sz w:val="24"/>
          <w:szCs w:val="24"/>
        </w:rPr>
        <w:t>.7%)</w:t>
      </w:r>
    </w:p>
    <w:p w:rsidR="007B7CDF" w:rsidRPr="009C1286" w:rsidRDefault="007B7CDF" w:rsidP="007B7CDF">
      <w:pPr>
        <w:numPr>
          <w:ilvl w:val="0"/>
          <w:numId w:val="15"/>
        </w:numPr>
        <w:spacing w:after="0" w:line="240" w:lineRule="auto"/>
        <w:rPr>
          <w:rFonts w:ascii="Arial" w:hAnsi="Arial" w:cs="Arial"/>
          <w:sz w:val="24"/>
          <w:szCs w:val="24"/>
        </w:rPr>
      </w:pPr>
      <w:r w:rsidRPr="009C1286">
        <w:rPr>
          <w:rFonts w:ascii="Arial" w:hAnsi="Arial" w:cs="Arial"/>
          <w:sz w:val="24"/>
          <w:szCs w:val="24"/>
        </w:rPr>
        <w:lastRenderedPageBreak/>
        <w:t>The national data combines the 16-18 FE and 19-24 with EHCP figures so, with this mind, it can be seen that, from 2016/17 to 2017/18, the reduction in participation by Lancashire residents is 1.3%, compared to a reduction of 1.4% nationally.  The key points for each of these education routes are as follows:</w:t>
      </w:r>
    </w:p>
    <w:p w:rsidR="007B7CDF" w:rsidRPr="009C1286" w:rsidRDefault="007B7CDF" w:rsidP="007B7CDF">
      <w:pPr>
        <w:numPr>
          <w:ilvl w:val="1"/>
          <w:numId w:val="15"/>
        </w:numPr>
        <w:spacing w:after="0" w:line="240" w:lineRule="auto"/>
        <w:rPr>
          <w:rFonts w:ascii="Arial" w:hAnsi="Arial" w:cs="Arial"/>
          <w:sz w:val="24"/>
          <w:szCs w:val="24"/>
        </w:rPr>
      </w:pPr>
      <w:r w:rsidRPr="009C1286">
        <w:rPr>
          <w:rFonts w:ascii="Arial" w:hAnsi="Arial" w:cs="Arial"/>
          <w:sz w:val="24"/>
          <w:szCs w:val="24"/>
        </w:rPr>
        <w:t>16-18 FE participation has reduced by 283, which equates to -1.4%</w:t>
      </w:r>
    </w:p>
    <w:p w:rsidR="007B7CDF" w:rsidRPr="009C1286" w:rsidRDefault="007B7CDF" w:rsidP="007B7CDF">
      <w:pPr>
        <w:numPr>
          <w:ilvl w:val="1"/>
          <w:numId w:val="15"/>
        </w:numPr>
        <w:spacing w:after="0" w:line="240" w:lineRule="auto"/>
        <w:rPr>
          <w:rFonts w:ascii="Arial" w:hAnsi="Arial" w:cs="Arial"/>
          <w:sz w:val="24"/>
          <w:szCs w:val="24"/>
        </w:rPr>
      </w:pPr>
      <w:r w:rsidRPr="009C1286">
        <w:rPr>
          <w:rFonts w:ascii="Arial" w:hAnsi="Arial" w:cs="Arial"/>
          <w:sz w:val="24"/>
          <w:szCs w:val="24"/>
        </w:rPr>
        <w:t>19-24 with EHCP participation has increased by 10, which equates to 2.9%</w:t>
      </w:r>
    </w:p>
    <w:p w:rsidR="007B7CDF" w:rsidRPr="009C1286" w:rsidRDefault="007B7CDF" w:rsidP="007B7CDF">
      <w:pPr>
        <w:numPr>
          <w:ilvl w:val="0"/>
          <w:numId w:val="15"/>
        </w:numPr>
        <w:spacing w:after="0" w:line="240" w:lineRule="auto"/>
        <w:rPr>
          <w:rFonts w:ascii="Arial" w:hAnsi="Arial" w:cs="Arial"/>
          <w:sz w:val="24"/>
          <w:szCs w:val="24"/>
        </w:rPr>
      </w:pPr>
      <w:r w:rsidRPr="009C1286">
        <w:rPr>
          <w:rFonts w:ascii="Arial" w:hAnsi="Arial" w:cs="Arial"/>
          <w:sz w:val="24"/>
          <w:szCs w:val="24"/>
        </w:rPr>
        <w:t xml:space="preserve">SSF and Academy participation has reduced by 440, which equates to -9.7%.  This compares to the national reduction of 3.3% </w:t>
      </w:r>
    </w:p>
    <w:p w:rsidR="007B7CDF" w:rsidRPr="00603A3B" w:rsidRDefault="007B7CDF" w:rsidP="007B7CDF">
      <w:pPr>
        <w:numPr>
          <w:ilvl w:val="0"/>
          <w:numId w:val="15"/>
        </w:numPr>
        <w:spacing w:after="0" w:line="240" w:lineRule="auto"/>
        <w:rPr>
          <w:rFonts w:ascii="Arial" w:hAnsi="Arial" w:cs="Arial"/>
          <w:sz w:val="24"/>
          <w:szCs w:val="24"/>
        </w:rPr>
      </w:pPr>
      <w:r w:rsidRPr="00603A3B">
        <w:rPr>
          <w:rFonts w:ascii="Arial" w:hAnsi="Arial" w:cs="Arial"/>
          <w:sz w:val="24"/>
          <w:szCs w:val="24"/>
        </w:rPr>
        <w:t xml:space="preserve">16-18 Apprenticeship </w:t>
      </w:r>
      <w:r w:rsidR="00136C49">
        <w:rPr>
          <w:rFonts w:ascii="Arial" w:hAnsi="Arial" w:cs="Arial"/>
          <w:sz w:val="24"/>
          <w:szCs w:val="24"/>
        </w:rPr>
        <w:t xml:space="preserve">starts have </w:t>
      </w:r>
      <w:r w:rsidRPr="00603A3B">
        <w:rPr>
          <w:rFonts w:ascii="Arial" w:hAnsi="Arial" w:cs="Arial"/>
          <w:sz w:val="24"/>
          <w:szCs w:val="24"/>
        </w:rPr>
        <w:t xml:space="preserve">reduced by </w:t>
      </w:r>
      <w:r w:rsidR="00603A3B" w:rsidRPr="00603A3B">
        <w:rPr>
          <w:rFonts w:ascii="Arial" w:hAnsi="Arial" w:cs="Arial"/>
          <w:sz w:val="24"/>
          <w:szCs w:val="24"/>
        </w:rPr>
        <w:t>536</w:t>
      </w:r>
      <w:r w:rsidR="00603A3B">
        <w:rPr>
          <w:rFonts w:ascii="Arial" w:hAnsi="Arial" w:cs="Arial"/>
          <w:sz w:val="24"/>
          <w:szCs w:val="24"/>
        </w:rPr>
        <w:t>, which equates to</w:t>
      </w:r>
      <w:r w:rsidR="00136C49">
        <w:rPr>
          <w:rFonts w:ascii="Arial" w:hAnsi="Arial" w:cs="Arial"/>
          <w:sz w:val="24"/>
          <w:szCs w:val="24"/>
        </w:rPr>
        <w:t xml:space="preserve"> </w:t>
      </w:r>
      <w:r w:rsidR="00603A3B">
        <w:rPr>
          <w:rFonts w:ascii="Arial" w:hAnsi="Arial" w:cs="Arial"/>
          <w:sz w:val="24"/>
          <w:szCs w:val="24"/>
        </w:rPr>
        <w:t>-14.9%</w:t>
      </w:r>
      <w:r w:rsidRPr="00603A3B">
        <w:rPr>
          <w:rFonts w:ascii="Arial" w:hAnsi="Arial" w:cs="Arial"/>
          <w:sz w:val="24"/>
          <w:szCs w:val="24"/>
        </w:rPr>
        <w:t xml:space="preserve">.  This compares to a national reduction of </w:t>
      </w:r>
      <w:r w:rsidR="00603A3B" w:rsidRPr="00603A3B">
        <w:rPr>
          <w:rFonts w:ascii="Arial" w:hAnsi="Arial" w:cs="Arial"/>
          <w:sz w:val="24"/>
          <w:szCs w:val="24"/>
        </w:rPr>
        <w:t>13.2</w:t>
      </w:r>
      <w:r w:rsidRPr="00603A3B">
        <w:rPr>
          <w:rFonts w:ascii="Arial" w:hAnsi="Arial" w:cs="Arial"/>
          <w:sz w:val="24"/>
          <w:szCs w:val="24"/>
        </w:rPr>
        <w:t>%</w:t>
      </w:r>
    </w:p>
    <w:p w:rsidR="007B7CDF" w:rsidRPr="00C73B62" w:rsidRDefault="007B7CDF" w:rsidP="007B7CDF">
      <w:pPr>
        <w:numPr>
          <w:ilvl w:val="0"/>
          <w:numId w:val="15"/>
        </w:numPr>
        <w:spacing w:after="0" w:line="240" w:lineRule="auto"/>
        <w:rPr>
          <w:rFonts w:ascii="Arial" w:hAnsi="Arial" w:cs="Arial"/>
          <w:sz w:val="24"/>
          <w:szCs w:val="24"/>
        </w:rPr>
      </w:pPr>
      <w:r w:rsidRPr="00C73B62">
        <w:rPr>
          <w:rFonts w:ascii="Arial" w:hAnsi="Arial" w:cs="Arial"/>
          <w:sz w:val="24"/>
          <w:szCs w:val="24"/>
        </w:rPr>
        <w:t>In terms of overall participation by gender, a breakdown by education and training route can be found in the table below:</w:t>
      </w:r>
    </w:p>
    <w:p w:rsidR="007B7CDF" w:rsidRPr="00820FFB" w:rsidRDefault="007B7CDF" w:rsidP="007B7CDF">
      <w:pPr>
        <w:spacing w:after="0" w:line="240" w:lineRule="auto"/>
        <w:rPr>
          <w:rFonts w:ascii="Arial" w:hAnsi="Arial" w:cs="Arial"/>
          <w:sz w:val="24"/>
          <w:szCs w:val="24"/>
        </w:rPr>
      </w:pPr>
    </w:p>
    <w:tbl>
      <w:tblPr>
        <w:tblW w:w="9101" w:type="dxa"/>
        <w:tblInd w:w="108" w:type="dxa"/>
        <w:tblLook w:val="04A0" w:firstRow="1" w:lastRow="0" w:firstColumn="1" w:lastColumn="0" w:noHBand="0" w:noVBand="1"/>
      </w:tblPr>
      <w:tblGrid>
        <w:gridCol w:w="1305"/>
        <w:gridCol w:w="1559"/>
        <w:gridCol w:w="1559"/>
        <w:gridCol w:w="1560"/>
        <w:gridCol w:w="1559"/>
        <w:gridCol w:w="1559"/>
      </w:tblGrid>
      <w:tr w:rsidR="007B7CDF" w:rsidRPr="00E5532D" w:rsidTr="0011752D">
        <w:tc>
          <w:tcPr>
            <w:tcW w:w="1305" w:type="dxa"/>
            <w:shd w:val="clear" w:color="auto" w:fill="00ACE9"/>
          </w:tcPr>
          <w:p w:rsidR="007B7CDF" w:rsidRPr="00E5532D" w:rsidRDefault="007B7CDF" w:rsidP="005A49A9">
            <w:pPr>
              <w:spacing w:after="0"/>
              <w:rPr>
                <w:rFonts w:ascii="Arial" w:hAnsi="Arial" w:cs="Arial"/>
                <w:b/>
                <w:sz w:val="24"/>
                <w:szCs w:val="24"/>
              </w:rPr>
            </w:pPr>
          </w:p>
        </w:tc>
        <w:tc>
          <w:tcPr>
            <w:tcW w:w="1559"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16-18 FE</w:t>
            </w:r>
          </w:p>
        </w:tc>
        <w:tc>
          <w:tcPr>
            <w:tcW w:w="1559"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19-24 with EHCP</w:t>
            </w:r>
          </w:p>
        </w:tc>
        <w:tc>
          <w:tcPr>
            <w:tcW w:w="1560"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SSF and Academies</w:t>
            </w:r>
          </w:p>
        </w:tc>
        <w:tc>
          <w:tcPr>
            <w:tcW w:w="1559"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16-18 Apps</w:t>
            </w:r>
          </w:p>
        </w:tc>
        <w:tc>
          <w:tcPr>
            <w:tcW w:w="1559"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Total</w:t>
            </w:r>
          </w:p>
        </w:tc>
      </w:tr>
      <w:tr w:rsidR="007B7CDF" w:rsidRPr="00DC0DD5" w:rsidTr="0011752D">
        <w:tc>
          <w:tcPr>
            <w:tcW w:w="1305" w:type="dxa"/>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Female</w:t>
            </w:r>
          </w:p>
        </w:tc>
        <w:tc>
          <w:tcPr>
            <w:tcW w:w="1559"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9,767</w:t>
            </w:r>
          </w:p>
        </w:tc>
        <w:tc>
          <w:tcPr>
            <w:tcW w:w="1559"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130</w:t>
            </w:r>
          </w:p>
        </w:tc>
        <w:tc>
          <w:tcPr>
            <w:tcW w:w="1560"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2,226</w:t>
            </w:r>
          </w:p>
        </w:tc>
        <w:tc>
          <w:tcPr>
            <w:tcW w:w="1559" w:type="dxa"/>
            <w:shd w:val="clear" w:color="auto" w:fill="575756"/>
          </w:tcPr>
          <w:p w:rsidR="007B7CDF" w:rsidRPr="00E71AB2" w:rsidRDefault="00E71AB2" w:rsidP="005A49A9">
            <w:pPr>
              <w:spacing w:after="0"/>
              <w:jc w:val="center"/>
              <w:rPr>
                <w:rFonts w:ascii="Arial" w:hAnsi="Arial" w:cs="Arial"/>
                <w:color w:val="FFFFFF" w:themeColor="background1"/>
                <w:sz w:val="24"/>
                <w:szCs w:val="24"/>
              </w:rPr>
            </w:pPr>
            <w:r w:rsidRPr="00E71AB2">
              <w:rPr>
                <w:rFonts w:ascii="Arial" w:hAnsi="Arial" w:cs="Arial"/>
                <w:color w:val="FFFFFF" w:themeColor="background1"/>
                <w:sz w:val="24"/>
                <w:szCs w:val="24"/>
              </w:rPr>
              <w:t>1,225</w:t>
            </w:r>
          </w:p>
        </w:tc>
        <w:tc>
          <w:tcPr>
            <w:tcW w:w="1559" w:type="dxa"/>
            <w:shd w:val="clear" w:color="auto" w:fill="575756"/>
          </w:tcPr>
          <w:p w:rsidR="007B7CDF" w:rsidRPr="00E71AB2" w:rsidRDefault="007B7CDF" w:rsidP="00E71AB2">
            <w:pPr>
              <w:spacing w:after="0"/>
              <w:jc w:val="center"/>
              <w:rPr>
                <w:rFonts w:ascii="Arial" w:hAnsi="Arial" w:cs="Arial"/>
                <w:b/>
                <w:color w:val="FFFFFF" w:themeColor="background1"/>
                <w:sz w:val="24"/>
                <w:szCs w:val="24"/>
              </w:rPr>
            </w:pPr>
            <w:r w:rsidRPr="00E71AB2">
              <w:rPr>
                <w:rFonts w:ascii="Arial" w:hAnsi="Arial" w:cs="Arial"/>
                <w:b/>
                <w:color w:val="FFFFFF" w:themeColor="background1"/>
                <w:sz w:val="24"/>
                <w:szCs w:val="24"/>
              </w:rPr>
              <w:t>13,</w:t>
            </w:r>
            <w:r w:rsidR="00E71AB2" w:rsidRPr="00E71AB2">
              <w:rPr>
                <w:rFonts w:ascii="Arial" w:hAnsi="Arial" w:cs="Arial"/>
                <w:b/>
                <w:color w:val="FFFFFF" w:themeColor="background1"/>
                <w:sz w:val="24"/>
                <w:szCs w:val="24"/>
              </w:rPr>
              <w:t>34</w:t>
            </w:r>
            <w:r w:rsidRPr="00E71AB2">
              <w:rPr>
                <w:rFonts w:ascii="Arial" w:hAnsi="Arial" w:cs="Arial"/>
                <w:b/>
                <w:color w:val="FFFFFF" w:themeColor="background1"/>
                <w:sz w:val="24"/>
                <w:szCs w:val="24"/>
              </w:rPr>
              <w:t>8 (4</w:t>
            </w:r>
            <w:r w:rsidR="00E71AB2" w:rsidRPr="00E71AB2">
              <w:rPr>
                <w:rFonts w:ascii="Arial" w:hAnsi="Arial" w:cs="Arial"/>
                <w:b/>
                <w:color w:val="FFFFFF" w:themeColor="background1"/>
                <w:sz w:val="24"/>
                <w:szCs w:val="24"/>
              </w:rPr>
              <w:t>9.0</w:t>
            </w:r>
            <w:r w:rsidRPr="00E71AB2">
              <w:rPr>
                <w:rFonts w:ascii="Arial" w:hAnsi="Arial" w:cs="Arial"/>
                <w:b/>
                <w:color w:val="FFFFFF" w:themeColor="background1"/>
                <w:sz w:val="24"/>
                <w:szCs w:val="24"/>
              </w:rPr>
              <w:t>%)</w:t>
            </w:r>
          </w:p>
        </w:tc>
      </w:tr>
      <w:tr w:rsidR="007B7CDF" w:rsidRPr="00E5532D" w:rsidTr="005809E3">
        <w:tc>
          <w:tcPr>
            <w:tcW w:w="1305" w:type="dxa"/>
            <w:shd w:val="clear" w:color="auto" w:fill="E0E0E0"/>
          </w:tcPr>
          <w:p w:rsidR="007B7CDF" w:rsidRPr="00E5532D" w:rsidRDefault="007B7CDF" w:rsidP="005A49A9">
            <w:pPr>
              <w:spacing w:after="0"/>
              <w:rPr>
                <w:rFonts w:ascii="Arial" w:hAnsi="Arial" w:cs="Arial"/>
                <w:sz w:val="24"/>
                <w:szCs w:val="24"/>
              </w:rPr>
            </w:pPr>
            <w:r w:rsidRPr="00E5532D">
              <w:rPr>
                <w:rFonts w:ascii="Arial" w:hAnsi="Arial" w:cs="Arial"/>
                <w:sz w:val="24"/>
                <w:szCs w:val="24"/>
              </w:rPr>
              <w:t>Male</w:t>
            </w:r>
          </w:p>
        </w:tc>
        <w:tc>
          <w:tcPr>
            <w:tcW w:w="1559" w:type="dxa"/>
            <w:shd w:val="clear" w:color="auto" w:fill="E0E0E0"/>
          </w:tcPr>
          <w:p w:rsidR="007B7CDF" w:rsidRPr="009C1286" w:rsidRDefault="007B7CDF" w:rsidP="005A49A9">
            <w:pPr>
              <w:spacing w:after="0"/>
              <w:jc w:val="center"/>
              <w:rPr>
                <w:rFonts w:ascii="Arial" w:hAnsi="Arial" w:cs="Arial"/>
                <w:sz w:val="24"/>
                <w:szCs w:val="24"/>
              </w:rPr>
            </w:pPr>
            <w:r w:rsidRPr="009C1286">
              <w:rPr>
                <w:rFonts w:ascii="Arial" w:hAnsi="Arial" w:cs="Arial"/>
                <w:sz w:val="24"/>
                <w:szCs w:val="24"/>
              </w:rPr>
              <w:t>9,967</w:t>
            </w:r>
          </w:p>
        </w:tc>
        <w:tc>
          <w:tcPr>
            <w:tcW w:w="1559" w:type="dxa"/>
            <w:shd w:val="clear" w:color="auto" w:fill="E0E0E0"/>
          </w:tcPr>
          <w:p w:rsidR="007B7CDF" w:rsidRPr="009C1286" w:rsidRDefault="007B7CDF" w:rsidP="005A49A9">
            <w:pPr>
              <w:spacing w:after="0"/>
              <w:jc w:val="center"/>
              <w:rPr>
                <w:rFonts w:ascii="Arial" w:hAnsi="Arial" w:cs="Arial"/>
                <w:sz w:val="24"/>
                <w:szCs w:val="24"/>
              </w:rPr>
            </w:pPr>
            <w:r w:rsidRPr="009C1286">
              <w:rPr>
                <w:rFonts w:ascii="Arial" w:hAnsi="Arial" w:cs="Arial"/>
                <w:sz w:val="24"/>
                <w:szCs w:val="24"/>
              </w:rPr>
              <w:t>229</w:t>
            </w:r>
          </w:p>
        </w:tc>
        <w:tc>
          <w:tcPr>
            <w:tcW w:w="1560" w:type="dxa"/>
            <w:shd w:val="clear" w:color="auto" w:fill="E0E0E0"/>
          </w:tcPr>
          <w:p w:rsidR="007B7CDF" w:rsidRPr="009C1286" w:rsidRDefault="007B7CDF" w:rsidP="005A49A9">
            <w:pPr>
              <w:spacing w:after="0"/>
              <w:jc w:val="center"/>
              <w:rPr>
                <w:rFonts w:ascii="Arial" w:hAnsi="Arial" w:cs="Arial"/>
                <w:sz w:val="24"/>
                <w:szCs w:val="24"/>
              </w:rPr>
            </w:pPr>
            <w:r w:rsidRPr="009C1286">
              <w:rPr>
                <w:rFonts w:ascii="Arial" w:hAnsi="Arial" w:cs="Arial"/>
                <w:sz w:val="24"/>
                <w:szCs w:val="24"/>
              </w:rPr>
              <w:t>1,877</w:t>
            </w:r>
          </w:p>
        </w:tc>
        <w:tc>
          <w:tcPr>
            <w:tcW w:w="1559" w:type="dxa"/>
            <w:shd w:val="clear" w:color="auto" w:fill="E0E0E0"/>
          </w:tcPr>
          <w:p w:rsidR="007B7CDF" w:rsidRPr="00E71AB2" w:rsidRDefault="00E71AB2" w:rsidP="005A49A9">
            <w:pPr>
              <w:spacing w:after="0"/>
              <w:jc w:val="center"/>
              <w:rPr>
                <w:rFonts w:ascii="Arial" w:hAnsi="Arial" w:cs="Arial"/>
                <w:sz w:val="24"/>
                <w:szCs w:val="24"/>
              </w:rPr>
            </w:pPr>
            <w:r w:rsidRPr="00E71AB2">
              <w:rPr>
                <w:rFonts w:ascii="Arial" w:hAnsi="Arial" w:cs="Arial"/>
                <w:sz w:val="24"/>
                <w:szCs w:val="24"/>
              </w:rPr>
              <w:t>1,839</w:t>
            </w:r>
          </w:p>
        </w:tc>
        <w:tc>
          <w:tcPr>
            <w:tcW w:w="1559" w:type="dxa"/>
            <w:shd w:val="clear" w:color="auto" w:fill="E0E0E0"/>
          </w:tcPr>
          <w:p w:rsidR="007B7CDF" w:rsidRPr="00E71AB2" w:rsidRDefault="00E71AB2" w:rsidP="00E71AB2">
            <w:pPr>
              <w:spacing w:after="0"/>
              <w:jc w:val="center"/>
              <w:rPr>
                <w:rFonts w:ascii="Arial" w:hAnsi="Arial" w:cs="Arial"/>
                <w:b/>
                <w:sz w:val="24"/>
                <w:szCs w:val="24"/>
              </w:rPr>
            </w:pPr>
            <w:r w:rsidRPr="00E71AB2">
              <w:rPr>
                <w:rFonts w:ascii="Arial" w:hAnsi="Arial" w:cs="Arial"/>
                <w:b/>
                <w:sz w:val="24"/>
                <w:szCs w:val="24"/>
              </w:rPr>
              <w:t xml:space="preserve">13,912 </w:t>
            </w:r>
            <w:r w:rsidR="007B7CDF" w:rsidRPr="00E71AB2">
              <w:rPr>
                <w:rFonts w:ascii="Arial" w:hAnsi="Arial" w:cs="Arial"/>
                <w:b/>
                <w:sz w:val="24"/>
                <w:szCs w:val="24"/>
              </w:rPr>
              <w:t>(51.</w:t>
            </w:r>
            <w:r w:rsidRPr="00E71AB2">
              <w:rPr>
                <w:rFonts w:ascii="Arial" w:hAnsi="Arial" w:cs="Arial"/>
                <w:b/>
                <w:sz w:val="24"/>
                <w:szCs w:val="24"/>
              </w:rPr>
              <w:t>0</w:t>
            </w:r>
            <w:r w:rsidR="007B7CDF" w:rsidRPr="00E71AB2">
              <w:rPr>
                <w:rFonts w:ascii="Arial" w:hAnsi="Arial" w:cs="Arial"/>
                <w:b/>
                <w:sz w:val="24"/>
                <w:szCs w:val="24"/>
              </w:rPr>
              <w:t>%)</w:t>
            </w:r>
          </w:p>
        </w:tc>
      </w:tr>
      <w:tr w:rsidR="007B7CDF" w:rsidRPr="00DC0DD5" w:rsidTr="0011752D">
        <w:tc>
          <w:tcPr>
            <w:tcW w:w="1305" w:type="dxa"/>
            <w:shd w:val="clear" w:color="auto" w:fill="575756"/>
          </w:tcPr>
          <w:p w:rsidR="007B7CDF" w:rsidRPr="00DC0DD5" w:rsidRDefault="007B7CDF" w:rsidP="005A49A9">
            <w:pPr>
              <w:spacing w:after="0"/>
              <w:rPr>
                <w:rFonts w:ascii="Arial" w:hAnsi="Arial" w:cs="Arial"/>
                <w:b/>
                <w:color w:val="FFFFFF" w:themeColor="background1"/>
                <w:sz w:val="24"/>
                <w:szCs w:val="24"/>
              </w:rPr>
            </w:pPr>
            <w:r w:rsidRPr="00DC0DD5">
              <w:rPr>
                <w:rFonts w:ascii="Arial" w:hAnsi="Arial" w:cs="Arial"/>
                <w:b/>
                <w:color w:val="FFFFFF" w:themeColor="background1"/>
                <w:sz w:val="24"/>
                <w:szCs w:val="24"/>
              </w:rPr>
              <w:t>Total</w:t>
            </w:r>
          </w:p>
        </w:tc>
        <w:tc>
          <w:tcPr>
            <w:tcW w:w="1559" w:type="dxa"/>
            <w:shd w:val="clear" w:color="auto" w:fill="575756"/>
          </w:tcPr>
          <w:p w:rsidR="00E71AB2" w:rsidRPr="00DC0DD5" w:rsidRDefault="00E71AB2" w:rsidP="00E71AB2">
            <w:pPr>
              <w:spacing w:after="0"/>
              <w:jc w:val="center"/>
              <w:rPr>
                <w:rFonts w:ascii="Arial" w:hAnsi="Arial" w:cs="Arial"/>
                <w:b/>
                <w:color w:val="FFFFFF" w:themeColor="background1"/>
                <w:sz w:val="24"/>
                <w:szCs w:val="24"/>
              </w:rPr>
            </w:pPr>
            <w:r>
              <w:rPr>
                <w:rFonts w:ascii="Arial" w:hAnsi="Arial" w:cs="Arial"/>
                <w:b/>
                <w:color w:val="FFFFFF" w:themeColor="background1"/>
                <w:sz w:val="24"/>
                <w:szCs w:val="24"/>
              </w:rPr>
              <w:t>19,734</w:t>
            </w:r>
          </w:p>
        </w:tc>
        <w:tc>
          <w:tcPr>
            <w:tcW w:w="1559" w:type="dxa"/>
            <w:shd w:val="clear" w:color="auto" w:fill="575756"/>
          </w:tcPr>
          <w:p w:rsidR="007B7CDF" w:rsidRPr="00DC0DD5" w:rsidRDefault="007B7CDF" w:rsidP="005A49A9">
            <w:pPr>
              <w:spacing w:after="0"/>
              <w:jc w:val="center"/>
              <w:rPr>
                <w:rFonts w:ascii="Arial" w:hAnsi="Arial" w:cs="Arial"/>
                <w:b/>
                <w:color w:val="FFFFFF" w:themeColor="background1"/>
                <w:sz w:val="24"/>
                <w:szCs w:val="24"/>
              </w:rPr>
            </w:pPr>
            <w:r w:rsidRPr="00DC0DD5">
              <w:rPr>
                <w:rFonts w:ascii="Arial" w:hAnsi="Arial" w:cs="Arial"/>
                <w:b/>
                <w:color w:val="FFFFFF" w:themeColor="background1"/>
                <w:sz w:val="24"/>
                <w:szCs w:val="24"/>
              </w:rPr>
              <w:t>359</w:t>
            </w:r>
          </w:p>
        </w:tc>
        <w:tc>
          <w:tcPr>
            <w:tcW w:w="1560" w:type="dxa"/>
            <w:shd w:val="clear" w:color="auto" w:fill="575756"/>
          </w:tcPr>
          <w:p w:rsidR="007B7CDF" w:rsidRPr="00DC0DD5" w:rsidRDefault="007B7CDF" w:rsidP="005A49A9">
            <w:pPr>
              <w:spacing w:after="0"/>
              <w:jc w:val="center"/>
              <w:rPr>
                <w:rFonts w:ascii="Arial" w:hAnsi="Arial" w:cs="Arial"/>
                <w:b/>
                <w:color w:val="FFFFFF" w:themeColor="background1"/>
                <w:sz w:val="24"/>
                <w:szCs w:val="24"/>
              </w:rPr>
            </w:pPr>
            <w:r w:rsidRPr="00DC0DD5">
              <w:rPr>
                <w:rFonts w:ascii="Arial" w:hAnsi="Arial" w:cs="Arial"/>
                <w:b/>
                <w:color w:val="FFFFFF" w:themeColor="background1"/>
                <w:sz w:val="24"/>
                <w:szCs w:val="24"/>
              </w:rPr>
              <w:t>4,103</w:t>
            </w:r>
          </w:p>
        </w:tc>
        <w:tc>
          <w:tcPr>
            <w:tcW w:w="1559" w:type="dxa"/>
            <w:shd w:val="clear" w:color="auto" w:fill="575756"/>
          </w:tcPr>
          <w:p w:rsidR="007B7CDF" w:rsidRPr="00E71AB2" w:rsidRDefault="00E71AB2" w:rsidP="005A49A9">
            <w:pPr>
              <w:spacing w:after="0"/>
              <w:jc w:val="center"/>
              <w:rPr>
                <w:rFonts w:ascii="Arial" w:hAnsi="Arial" w:cs="Arial"/>
                <w:b/>
                <w:color w:val="FFFFFF" w:themeColor="background1"/>
                <w:sz w:val="24"/>
                <w:szCs w:val="24"/>
              </w:rPr>
            </w:pPr>
            <w:r w:rsidRPr="00E71AB2">
              <w:rPr>
                <w:rFonts w:ascii="Arial" w:hAnsi="Arial" w:cs="Arial"/>
                <w:b/>
                <w:color w:val="FFFFFF" w:themeColor="background1"/>
                <w:sz w:val="24"/>
                <w:szCs w:val="24"/>
              </w:rPr>
              <w:t>3,064</w:t>
            </w:r>
          </w:p>
        </w:tc>
        <w:tc>
          <w:tcPr>
            <w:tcW w:w="1559" w:type="dxa"/>
            <w:shd w:val="clear" w:color="auto" w:fill="575756"/>
          </w:tcPr>
          <w:p w:rsidR="007B7CDF" w:rsidRPr="00E71AB2" w:rsidRDefault="00E71AB2" w:rsidP="005A49A9">
            <w:pPr>
              <w:spacing w:after="0"/>
              <w:jc w:val="center"/>
              <w:rPr>
                <w:rFonts w:ascii="Arial" w:hAnsi="Arial" w:cs="Arial"/>
                <w:b/>
                <w:color w:val="FFFFFF" w:themeColor="background1"/>
                <w:sz w:val="24"/>
                <w:szCs w:val="24"/>
              </w:rPr>
            </w:pPr>
            <w:r w:rsidRPr="00E71AB2">
              <w:rPr>
                <w:rFonts w:ascii="Arial" w:hAnsi="Arial" w:cs="Arial"/>
                <w:b/>
                <w:color w:val="FFFFFF" w:themeColor="background1"/>
                <w:sz w:val="24"/>
                <w:szCs w:val="24"/>
              </w:rPr>
              <w:t>27,260</w:t>
            </w:r>
          </w:p>
        </w:tc>
      </w:tr>
    </w:tbl>
    <w:p w:rsidR="007B7CDF" w:rsidRPr="001A1BBF" w:rsidRDefault="007B7CDF" w:rsidP="00B33C63">
      <w:pPr>
        <w:spacing w:after="0" w:line="240" w:lineRule="auto"/>
        <w:rPr>
          <w:rFonts w:ascii="Arial" w:hAnsi="Arial" w:cs="Arial"/>
          <w:sz w:val="24"/>
          <w:szCs w:val="24"/>
        </w:rPr>
      </w:pPr>
    </w:p>
    <w:p w:rsidR="007B7CDF" w:rsidRPr="00820FFB" w:rsidRDefault="007B7CDF" w:rsidP="00B33C63">
      <w:pPr>
        <w:numPr>
          <w:ilvl w:val="0"/>
          <w:numId w:val="16"/>
        </w:numPr>
        <w:autoSpaceDE w:val="0"/>
        <w:autoSpaceDN w:val="0"/>
        <w:adjustRightInd w:val="0"/>
        <w:spacing w:after="0" w:line="240" w:lineRule="auto"/>
        <w:rPr>
          <w:rFonts w:ascii="Arial" w:hAnsi="Arial" w:cs="Arial"/>
          <w:sz w:val="24"/>
          <w:szCs w:val="24"/>
        </w:rPr>
      </w:pPr>
      <w:r w:rsidRPr="001A1BBF">
        <w:rPr>
          <w:rFonts w:ascii="Arial" w:hAnsi="Arial" w:cs="Arial"/>
          <w:sz w:val="24"/>
          <w:szCs w:val="24"/>
        </w:rPr>
        <w:t>In terms of overall participation by ethnicity, a breakdown by education and training route can be found in the table below:</w:t>
      </w:r>
    </w:p>
    <w:p w:rsidR="007B7CDF" w:rsidRPr="001A1BBF" w:rsidRDefault="007B7CDF" w:rsidP="00B33C63">
      <w:pPr>
        <w:spacing w:after="0"/>
        <w:rPr>
          <w:rFonts w:ascii="Arial" w:hAnsi="Arial" w:cs="Arial"/>
          <w:sz w:val="24"/>
          <w:szCs w:val="24"/>
        </w:rPr>
      </w:pPr>
    </w:p>
    <w:tbl>
      <w:tblPr>
        <w:tblW w:w="9356" w:type="dxa"/>
        <w:tblInd w:w="-5" w:type="dxa"/>
        <w:tblLayout w:type="fixed"/>
        <w:tblLook w:val="04A0" w:firstRow="1" w:lastRow="0" w:firstColumn="1" w:lastColumn="0" w:noHBand="0" w:noVBand="1"/>
      </w:tblPr>
      <w:tblGrid>
        <w:gridCol w:w="2835"/>
        <w:gridCol w:w="1134"/>
        <w:gridCol w:w="1418"/>
        <w:gridCol w:w="1559"/>
        <w:gridCol w:w="1134"/>
        <w:gridCol w:w="1276"/>
      </w:tblGrid>
      <w:tr w:rsidR="007B7CDF" w:rsidRPr="00E5532D" w:rsidTr="0011752D">
        <w:tc>
          <w:tcPr>
            <w:tcW w:w="2835" w:type="dxa"/>
            <w:shd w:val="clear" w:color="auto" w:fill="00ACE9"/>
          </w:tcPr>
          <w:p w:rsidR="007B7CDF" w:rsidRPr="00E5532D" w:rsidRDefault="007B7CDF" w:rsidP="005A49A9">
            <w:pPr>
              <w:spacing w:after="0"/>
              <w:rPr>
                <w:rFonts w:ascii="Arial" w:hAnsi="Arial" w:cs="Arial"/>
                <w:sz w:val="24"/>
                <w:szCs w:val="24"/>
              </w:rPr>
            </w:pPr>
          </w:p>
        </w:tc>
        <w:tc>
          <w:tcPr>
            <w:tcW w:w="1134"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16-18 FE</w:t>
            </w:r>
          </w:p>
        </w:tc>
        <w:tc>
          <w:tcPr>
            <w:tcW w:w="1418"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19-24 with EHCP</w:t>
            </w:r>
          </w:p>
        </w:tc>
        <w:tc>
          <w:tcPr>
            <w:tcW w:w="1559"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SSF and Academies</w:t>
            </w:r>
          </w:p>
        </w:tc>
        <w:tc>
          <w:tcPr>
            <w:tcW w:w="1134"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16-18 Apps</w:t>
            </w:r>
          </w:p>
        </w:tc>
        <w:tc>
          <w:tcPr>
            <w:tcW w:w="1276"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Total</w:t>
            </w:r>
          </w:p>
        </w:tc>
      </w:tr>
      <w:tr w:rsidR="007B7CDF" w:rsidRPr="00DC0DD5" w:rsidTr="0011752D">
        <w:tc>
          <w:tcPr>
            <w:tcW w:w="2835" w:type="dxa"/>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Asian/Asian British</w:t>
            </w:r>
          </w:p>
        </w:tc>
        <w:tc>
          <w:tcPr>
            <w:tcW w:w="1134"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2,426</w:t>
            </w:r>
          </w:p>
        </w:tc>
        <w:tc>
          <w:tcPr>
            <w:tcW w:w="1418"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32</w:t>
            </w:r>
          </w:p>
        </w:tc>
        <w:tc>
          <w:tcPr>
            <w:tcW w:w="1559"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494</w:t>
            </w:r>
          </w:p>
        </w:tc>
        <w:tc>
          <w:tcPr>
            <w:tcW w:w="1134" w:type="dxa"/>
            <w:shd w:val="clear" w:color="auto" w:fill="575756"/>
          </w:tcPr>
          <w:p w:rsidR="007B7CDF" w:rsidRPr="00E67AEB" w:rsidRDefault="00E67AEB" w:rsidP="005A49A9">
            <w:pPr>
              <w:spacing w:after="0"/>
              <w:jc w:val="center"/>
              <w:rPr>
                <w:rFonts w:ascii="Arial" w:hAnsi="Arial" w:cs="Arial"/>
                <w:color w:val="FFFFFF" w:themeColor="background1"/>
                <w:sz w:val="24"/>
                <w:szCs w:val="24"/>
              </w:rPr>
            </w:pPr>
            <w:r w:rsidRPr="00E67AEB">
              <w:rPr>
                <w:rFonts w:ascii="Arial" w:hAnsi="Arial" w:cs="Arial"/>
                <w:color w:val="FFFFFF" w:themeColor="background1"/>
                <w:sz w:val="24"/>
                <w:szCs w:val="24"/>
              </w:rPr>
              <w:t>62</w:t>
            </w:r>
          </w:p>
        </w:tc>
        <w:tc>
          <w:tcPr>
            <w:tcW w:w="1276" w:type="dxa"/>
            <w:shd w:val="clear" w:color="auto" w:fill="575756"/>
          </w:tcPr>
          <w:p w:rsidR="007B7CDF" w:rsidRPr="00E67AEB" w:rsidRDefault="00E67AEB" w:rsidP="00E67AEB">
            <w:pPr>
              <w:spacing w:after="0"/>
              <w:jc w:val="center"/>
              <w:rPr>
                <w:rFonts w:ascii="Arial" w:hAnsi="Arial" w:cs="Arial"/>
                <w:b/>
                <w:color w:val="FFFFFF" w:themeColor="background1"/>
                <w:sz w:val="24"/>
                <w:szCs w:val="24"/>
              </w:rPr>
            </w:pPr>
            <w:r w:rsidRPr="00E67AEB">
              <w:rPr>
                <w:rFonts w:ascii="Arial" w:hAnsi="Arial" w:cs="Arial"/>
                <w:b/>
                <w:color w:val="FFFFFF" w:themeColor="background1"/>
                <w:sz w:val="24"/>
                <w:szCs w:val="24"/>
              </w:rPr>
              <w:t>3,014</w:t>
            </w:r>
            <w:r w:rsidR="007B7CDF" w:rsidRPr="00E67AEB">
              <w:rPr>
                <w:rFonts w:ascii="Arial" w:hAnsi="Arial" w:cs="Arial"/>
                <w:b/>
                <w:color w:val="FFFFFF" w:themeColor="background1"/>
                <w:sz w:val="24"/>
                <w:szCs w:val="24"/>
              </w:rPr>
              <w:t xml:space="preserve"> (1</w:t>
            </w:r>
            <w:r w:rsidRPr="00E67AEB">
              <w:rPr>
                <w:rFonts w:ascii="Arial" w:hAnsi="Arial" w:cs="Arial"/>
                <w:b/>
                <w:color w:val="FFFFFF" w:themeColor="background1"/>
                <w:sz w:val="24"/>
                <w:szCs w:val="24"/>
              </w:rPr>
              <w:t>1</w:t>
            </w:r>
            <w:r w:rsidR="007B7CDF" w:rsidRPr="00E67AEB">
              <w:rPr>
                <w:rFonts w:ascii="Arial" w:hAnsi="Arial" w:cs="Arial"/>
                <w:b/>
                <w:color w:val="FFFFFF" w:themeColor="background1"/>
                <w:sz w:val="24"/>
                <w:szCs w:val="24"/>
              </w:rPr>
              <w:t>.1%)</w:t>
            </w:r>
          </w:p>
        </w:tc>
      </w:tr>
      <w:tr w:rsidR="007B7CDF" w:rsidRPr="00E5532D" w:rsidTr="005809E3">
        <w:tc>
          <w:tcPr>
            <w:tcW w:w="2835" w:type="dxa"/>
            <w:shd w:val="clear" w:color="auto" w:fill="E0E0E0"/>
          </w:tcPr>
          <w:p w:rsidR="007B7CDF" w:rsidRPr="00E5532D" w:rsidRDefault="007B7CDF" w:rsidP="005A49A9">
            <w:pPr>
              <w:spacing w:after="0"/>
              <w:rPr>
                <w:rFonts w:ascii="Arial" w:hAnsi="Arial" w:cs="Arial"/>
                <w:sz w:val="24"/>
                <w:szCs w:val="24"/>
              </w:rPr>
            </w:pPr>
            <w:r w:rsidRPr="00E5532D">
              <w:rPr>
                <w:rFonts w:ascii="Arial" w:hAnsi="Arial" w:cs="Arial"/>
                <w:sz w:val="24"/>
                <w:szCs w:val="24"/>
              </w:rPr>
              <w:t>Black/</w:t>
            </w:r>
            <w:r w:rsidR="00A606A7">
              <w:rPr>
                <w:rFonts w:ascii="Arial" w:hAnsi="Arial" w:cs="Arial"/>
                <w:sz w:val="24"/>
                <w:szCs w:val="24"/>
              </w:rPr>
              <w:t>African/</w:t>
            </w:r>
            <w:r w:rsidRPr="00E5532D">
              <w:rPr>
                <w:rFonts w:ascii="Arial" w:hAnsi="Arial" w:cs="Arial"/>
                <w:sz w:val="24"/>
                <w:szCs w:val="24"/>
              </w:rPr>
              <w:t>Caribbean/Black British</w:t>
            </w:r>
          </w:p>
        </w:tc>
        <w:tc>
          <w:tcPr>
            <w:tcW w:w="1134" w:type="dxa"/>
            <w:shd w:val="clear" w:color="auto" w:fill="E0E0E0"/>
          </w:tcPr>
          <w:p w:rsidR="007B7CDF" w:rsidRPr="00910DD5" w:rsidRDefault="007B7CDF" w:rsidP="005A49A9">
            <w:pPr>
              <w:spacing w:after="0"/>
              <w:jc w:val="center"/>
              <w:rPr>
                <w:rFonts w:ascii="Arial" w:hAnsi="Arial" w:cs="Arial"/>
                <w:sz w:val="24"/>
                <w:szCs w:val="24"/>
              </w:rPr>
            </w:pPr>
            <w:r w:rsidRPr="00910DD5">
              <w:rPr>
                <w:rFonts w:ascii="Arial" w:hAnsi="Arial" w:cs="Arial"/>
                <w:sz w:val="24"/>
                <w:szCs w:val="24"/>
              </w:rPr>
              <w:t>83</w:t>
            </w:r>
          </w:p>
        </w:tc>
        <w:tc>
          <w:tcPr>
            <w:tcW w:w="1418" w:type="dxa"/>
            <w:shd w:val="clear" w:color="auto" w:fill="E0E0E0"/>
          </w:tcPr>
          <w:p w:rsidR="007B7CDF" w:rsidRPr="00910DD5" w:rsidRDefault="007B7CDF" w:rsidP="005A49A9">
            <w:pPr>
              <w:spacing w:after="0"/>
              <w:jc w:val="center"/>
              <w:rPr>
                <w:rFonts w:ascii="Arial" w:hAnsi="Arial" w:cs="Arial"/>
                <w:sz w:val="24"/>
                <w:szCs w:val="24"/>
              </w:rPr>
            </w:pPr>
            <w:r w:rsidRPr="00910DD5">
              <w:rPr>
                <w:rFonts w:ascii="Arial" w:hAnsi="Arial" w:cs="Arial"/>
                <w:sz w:val="24"/>
                <w:szCs w:val="24"/>
              </w:rPr>
              <w:t>1</w:t>
            </w:r>
          </w:p>
        </w:tc>
        <w:tc>
          <w:tcPr>
            <w:tcW w:w="1559" w:type="dxa"/>
            <w:shd w:val="clear" w:color="auto" w:fill="E0E0E0"/>
          </w:tcPr>
          <w:p w:rsidR="007B7CDF" w:rsidRPr="00910DD5" w:rsidRDefault="007B7CDF" w:rsidP="005A49A9">
            <w:pPr>
              <w:spacing w:after="0"/>
              <w:jc w:val="center"/>
              <w:rPr>
                <w:rFonts w:ascii="Arial" w:hAnsi="Arial" w:cs="Arial"/>
                <w:sz w:val="24"/>
                <w:szCs w:val="24"/>
              </w:rPr>
            </w:pPr>
            <w:r w:rsidRPr="00910DD5">
              <w:rPr>
                <w:rFonts w:ascii="Arial" w:hAnsi="Arial" w:cs="Arial"/>
                <w:sz w:val="24"/>
                <w:szCs w:val="24"/>
              </w:rPr>
              <w:t>10</w:t>
            </w:r>
          </w:p>
        </w:tc>
        <w:tc>
          <w:tcPr>
            <w:tcW w:w="1134" w:type="dxa"/>
            <w:shd w:val="clear" w:color="auto" w:fill="E0E0E0"/>
          </w:tcPr>
          <w:p w:rsidR="007B7CDF" w:rsidRPr="00E67AEB" w:rsidRDefault="00E67AEB" w:rsidP="005A49A9">
            <w:pPr>
              <w:spacing w:after="0"/>
              <w:jc w:val="center"/>
              <w:rPr>
                <w:rFonts w:ascii="Arial" w:hAnsi="Arial" w:cs="Arial"/>
                <w:sz w:val="24"/>
                <w:szCs w:val="24"/>
              </w:rPr>
            </w:pPr>
            <w:r w:rsidRPr="00E67AEB">
              <w:rPr>
                <w:rFonts w:ascii="Arial" w:hAnsi="Arial" w:cs="Arial"/>
                <w:sz w:val="24"/>
                <w:szCs w:val="24"/>
              </w:rPr>
              <w:t>3</w:t>
            </w:r>
          </w:p>
        </w:tc>
        <w:tc>
          <w:tcPr>
            <w:tcW w:w="1276" w:type="dxa"/>
            <w:shd w:val="clear" w:color="auto" w:fill="E0E0E0"/>
          </w:tcPr>
          <w:p w:rsidR="007B7CDF" w:rsidRPr="00E67AEB" w:rsidRDefault="00E67AEB" w:rsidP="005A49A9">
            <w:pPr>
              <w:spacing w:after="0"/>
              <w:jc w:val="center"/>
              <w:rPr>
                <w:rFonts w:ascii="Arial" w:hAnsi="Arial" w:cs="Arial"/>
                <w:b/>
                <w:sz w:val="24"/>
                <w:szCs w:val="24"/>
              </w:rPr>
            </w:pPr>
            <w:r w:rsidRPr="00E67AEB">
              <w:rPr>
                <w:rFonts w:ascii="Arial" w:hAnsi="Arial" w:cs="Arial"/>
                <w:b/>
                <w:sz w:val="24"/>
                <w:szCs w:val="24"/>
              </w:rPr>
              <w:t>97</w:t>
            </w:r>
          </w:p>
          <w:p w:rsidR="007B7CDF" w:rsidRPr="00E67AEB" w:rsidRDefault="007B7CDF" w:rsidP="005A49A9">
            <w:pPr>
              <w:spacing w:after="0"/>
              <w:jc w:val="center"/>
              <w:rPr>
                <w:rFonts w:ascii="Arial" w:hAnsi="Arial" w:cs="Arial"/>
                <w:b/>
                <w:sz w:val="24"/>
                <w:szCs w:val="24"/>
              </w:rPr>
            </w:pPr>
            <w:r w:rsidRPr="00E67AEB">
              <w:rPr>
                <w:rFonts w:ascii="Arial" w:hAnsi="Arial" w:cs="Arial"/>
                <w:b/>
                <w:sz w:val="24"/>
                <w:szCs w:val="24"/>
              </w:rPr>
              <w:t>(0.4%)</w:t>
            </w:r>
          </w:p>
        </w:tc>
      </w:tr>
      <w:tr w:rsidR="007B7CDF" w:rsidRPr="00DC0DD5" w:rsidTr="0011752D">
        <w:tc>
          <w:tcPr>
            <w:tcW w:w="2835" w:type="dxa"/>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Mixed/ Multiple Ethnic Group</w:t>
            </w:r>
          </w:p>
        </w:tc>
        <w:tc>
          <w:tcPr>
            <w:tcW w:w="1134"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459</w:t>
            </w:r>
          </w:p>
        </w:tc>
        <w:tc>
          <w:tcPr>
            <w:tcW w:w="1418"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8</w:t>
            </w:r>
          </w:p>
        </w:tc>
        <w:tc>
          <w:tcPr>
            <w:tcW w:w="1559"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87</w:t>
            </w:r>
          </w:p>
        </w:tc>
        <w:tc>
          <w:tcPr>
            <w:tcW w:w="1134" w:type="dxa"/>
            <w:shd w:val="clear" w:color="auto" w:fill="575756"/>
          </w:tcPr>
          <w:p w:rsidR="007B7CDF" w:rsidRPr="00E67AEB" w:rsidRDefault="00E67AEB" w:rsidP="005A49A9">
            <w:pPr>
              <w:spacing w:after="0"/>
              <w:jc w:val="center"/>
              <w:rPr>
                <w:rFonts w:ascii="Arial" w:hAnsi="Arial" w:cs="Arial"/>
                <w:color w:val="FFFFFF" w:themeColor="background1"/>
                <w:sz w:val="24"/>
                <w:szCs w:val="24"/>
              </w:rPr>
            </w:pPr>
            <w:r w:rsidRPr="00E67AEB">
              <w:rPr>
                <w:rFonts w:ascii="Arial" w:hAnsi="Arial" w:cs="Arial"/>
                <w:color w:val="FFFFFF" w:themeColor="background1"/>
                <w:sz w:val="24"/>
                <w:szCs w:val="24"/>
              </w:rPr>
              <w:t>37</w:t>
            </w:r>
          </w:p>
        </w:tc>
        <w:tc>
          <w:tcPr>
            <w:tcW w:w="1276" w:type="dxa"/>
            <w:shd w:val="clear" w:color="auto" w:fill="575756"/>
          </w:tcPr>
          <w:p w:rsidR="007B7CDF" w:rsidRPr="00E67AEB" w:rsidRDefault="00E67AEB" w:rsidP="005A49A9">
            <w:pPr>
              <w:spacing w:after="0"/>
              <w:jc w:val="center"/>
              <w:rPr>
                <w:rFonts w:ascii="Arial" w:hAnsi="Arial" w:cs="Arial"/>
                <w:b/>
                <w:color w:val="FFFFFF" w:themeColor="background1"/>
                <w:sz w:val="24"/>
                <w:szCs w:val="24"/>
              </w:rPr>
            </w:pPr>
            <w:r w:rsidRPr="00E67AEB">
              <w:rPr>
                <w:rFonts w:ascii="Arial" w:hAnsi="Arial" w:cs="Arial"/>
                <w:b/>
                <w:color w:val="FFFFFF" w:themeColor="background1"/>
                <w:sz w:val="24"/>
                <w:szCs w:val="24"/>
              </w:rPr>
              <w:t>59</w:t>
            </w:r>
            <w:r w:rsidR="007B7CDF" w:rsidRPr="00E67AEB">
              <w:rPr>
                <w:rFonts w:ascii="Arial" w:hAnsi="Arial" w:cs="Arial"/>
                <w:b/>
                <w:color w:val="FFFFFF" w:themeColor="background1"/>
                <w:sz w:val="24"/>
                <w:szCs w:val="24"/>
              </w:rPr>
              <w:t>1</w:t>
            </w:r>
          </w:p>
          <w:p w:rsidR="007B7CDF" w:rsidRPr="00E67AEB" w:rsidRDefault="007B7CDF" w:rsidP="00E67AEB">
            <w:pPr>
              <w:spacing w:after="0"/>
              <w:jc w:val="center"/>
              <w:rPr>
                <w:rFonts w:ascii="Arial" w:hAnsi="Arial" w:cs="Arial"/>
                <w:b/>
                <w:color w:val="FFFFFF" w:themeColor="background1"/>
                <w:sz w:val="24"/>
                <w:szCs w:val="24"/>
              </w:rPr>
            </w:pPr>
            <w:r w:rsidRPr="00E67AEB">
              <w:rPr>
                <w:rFonts w:ascii="Arial" w:hAnsi="Arial" w:cs="Arial"/>
                <w:b/>
                <w:color w:val="FFFFFF" w:themeColor="background1"/>
                <w:sz w:val="24"/>
                <w:szCs w:val="24"/>
              </w:rPr>
              <w:t>(2.</w:t>
            </w:r>
            <w:r w:rsidR="00E67AEB" w:rsidRPr="00E67AEB">
              <w:rPr>
                <w:rFonts w:ascii="Arial" w:hAnsi="Arial" w:cs="Arial"/>
                <w:b/>
                <w:color w:val="FFFFFF" w:themeColor="background1"/>
                <w:sz w:val="24"/>
                <w:szCs w:val="24"/>
              </w:rPr>
              <w:t>2</w:t>
            </w:r>
            <w:r w:rsidRPr="00E67AEB">
              <w:rPr>
                <w:rFonts w:ascii="Arial" w:hAnsi="Arial" w:cs="Arial"/>
                <w:b/>
                <w:color w:val="FFFFFF" w:themeColor="background1"/>
                <w:sz w:val="24"/>
                <w:szCs w:val="24"/>
              </w:rPr>
              <w:t>%)</w:t>
            </w:r>
          </w:p>
        </w:tc>
      </w:tr>
      <w:tr w:rsidR="007B7CDF" w:rsidRPr="00E5532D" w:rsidTr="005809E3">
        <w:tc>
          <w:tcPr>
            <w:tcW w:w="2835" w:type="dxa"/>
            <w:shd w:val="clear" w:color="auto" w:fill="E0E0E0"/>
          </w:tcPr>
          <w:p w:rsidR="007B7CDF" w:rsidRPr="00E5532D" w:rsidRDefault="007B7CDF" w:rsidP="005A49A9">
            <w:pPr>
              <w:spacing w:after="0"/>
              <w:rPr>
                <w:rFonts w:ascii="Arial" w:hAnsi="Arial" w:cs="Arial"/>
                <w:sz w:val="24"/>
                <w:szCs w:val="24"/>
              </w:rPr>
            </w:pPr>
            <w:r w:rsidRPr="00E5532D">
              <w:rPr>
                <w:rFonts w:ascii="Arial" w:hAnsi="Arial" w:cs="Arial"/>
                <w:sz w:val="24"/>
                <w:szCs w:val="24"/>
              </w:rPr>
              <w:t>Other Ethnic Group</w:t>
            </w:r>
          </w:p>
        </w:tc>
        <w:tc>
          <w:tcPr>
            <w:tcW w:w="1134" w:type="dxa"/>
            <w:shd w:val="clear" w:color="auto" w:fill="E0E0E0"/>
          </w:tcPr>
          <w:p w:rsidR="007B7CDF" w:rsidRPr="00910DD5" w:rsidRDefault="007B7CDF" w:rsidP="005A49A9">
            <w:pPr>
              <w:spacing w:after="0"/>
              <w:jc w:val="center"/>
              <w:rPr>
                <w:rFonts w:ascii="Arial" w:hAnsi="Arial" w:cs="Arial"/>
                <w:sz w:val="24"/>
                <w:szCs w:val="24"/>
              </w:rPr>
            </w:pPr>
            <w:r w:rsidRPr="00910DD5">
              <w:rPr>
                <w:rFonts w:ascii="Arial" w:hAnsi="Arial" w:cs="Arial"/>
                <w:sz w:val="24"/>
                <w:szCs w:val="24"/>
              </w:rPr>
              <w:t>348</w:t>
            </w:r>
          </w:p>
        </w:tc>
        <w:tc>
          <w:tcPr>
            <w:tcW w:w="1418" w:type="dxa"/>
            <w:shd w:val="clear" w:color="auto" w:fill="E0E0E0"/>
          </w:tcPr>
          <w:p w:rsidR="007B7CDF" w:rsidRPr="00910DD5" w:rsidRDefault="007B7CDF" w:rsidP="005A49A9">
            <w:pPr>
              <w:spacing w:after="0"/>
              <w:jc w:val="center"/>
              <w:rPr>
                <w:rFonts w:ascii="Arial" w:hAnsi="Arial" w:cs="Arial"/>
                <w:sz w:val="24"/>
                <w:szCs w:val="24"/>
              </w:rPr>
            </w:pPr>
            <w:r w:rsidRPr="00910DD5">
              <w:rPr>
                <w:rFonts w:ascii="Arial" w:hAnsi="Arial" w:cs="Arial"/>
                <w:sz w:val="24"/>
                <w:szCs w:val="24"/>
              </w:rPr>
              <w:t>25</w:t>
            </w:r>
          </w:p>
        </w:tc>
        <w:tc>
          <w:tcPr>
            <w:tcW w:w="1559" w:type="dxa"/>
            <w:shd w:val="clear" w:color="auto" w:fill="E0E0E0"/>
          </w:tcPr>
          <w:p w:rsidR="007B7CDF" w:rsidRPr="00910DD5" w:rsidRDefault="007B7CDF" w:rsidP="005A49A9">
            <w:pPr>
              <w:spacing w:after="0"/>
              <w:jc w:val="center"/>
              <w:rPr>
                <w:rFonts w:ascii="Arial" w:hAnsi="Arial" w:cs="Arial"/>
                <w:sz w:val="24"/>
                <w:szCs w:val="24"/>
              </w:rPr>
            </w:pPr>
            <w:r w:rsidRPr="00910DD5">
              <w:rPr>
                <w:rFonts w:ascii="Arial" w:hAnsi="Arial" w:cs="Arial"/>
                <w:sz w:val="24"/>
                <w:szCs w:val="24"/>
              </w:rPr>
              <w:t>154</w:t>
            </w:r>
          </w:p>
        </w:tc>
        <w:tc>
          <w:tcPr>
            <w:tcW w:w="1134" w:type="dxa"/>
            <w:shd w:val="clear" w:color="auto" w:fill="E0E0E0"/>
          </w:tcPr>
          <w:p w:rsidR="007B7CDF" w:rsidRPr="00E67AEB" w:rsidRDefault="00E67AEB" w:rsidP="005A49A9">
            <w:pPr>
              <w:spacing w:after="0"/>
              <w:jc w:val="center"/>
              <w:rPr>
                <w:rFonts w:ascii="Arial" w:hAnsi="Arial" w:cs="Arial"/>
                <w:sz w:val="24"/>
                <w:szCs w:val="24"/>
              </w:rPr>
            </w:pPr>
            <w:r w:rsidRPr="00E67AEB">
              <w:rPr>
                <w:rFonts w:ascii="Arial" w:hAnsi="Arial" w:cs="Arial"/>
                <w:sz w:val="24"/>
                <w:szCs w:val="24"/>
              </w:rPr>
              <w:t>3</w:t>
            </w:r>
          </w:p>
        </w:tc>
        <w:tc>
          <w:tcPr>
            <w:tcW w:w="1276" w:type="dxa"/>
            <w:shd w:val="clear" w:color="auto" w:fill="E0E0E0"/>
          </w:tcPr>
          <w:p w:rsidR="007B7CDF" w:rsidRPr="00E67AEB" w:rsidRDefault="00E67AEB" w:rsidP="005A49A9">
            <w:pPr>
              <w:spacing w:after="0"/>
              <w:jc w:val="center"/>
              <w:rPr>
                <w:rFonts w:ascii="Arial" w:hAnsi="Arial" w:cs="Arial"/>
                <w:b/>
                <w:sz w:val="24"/>
                <w:szCs w:val="24"/>
              </w:rPr>
            </w:pPr>
            <w:r w:rsidRPr="00E67AEB">
              <w:rPr>
                <w:rFonts w:ascii="Arial" w:hAnsi="Arial" w:cs="Arial"/>
                <w:b/>
                <w:sz w:val="24"/>
                <w:szCs w:val="24"/>
              </w:rPr>
              <w:t>53</w:t>
            </w:r>
            <w:r w:rsidR="007B7CDF" w:rsidRPr="00E67AEB">
              <w:rPr>
                <w:rFonts w:ascii="Arial" w:hAnsi="Arial" w:cs="Arial"/>
                <w:b/>
                <w:sz w:val="24"/>
                <w:szCs w:val="24"/>
              </w:rPr>
              <w:t>0</w:t>
            </w:r>
          </w:p>
          <w:p w:rsidR="007B7CDF" w:rsidRPr="00E67AEB" w:rsidRDefault="00E67AEB" w:rsidP="005A49A9">
            <w:pPr>
              <w:spacing w:after="0"/>
              <w:jc w:val="center"/>
              <w:rPr>
                <w:rFonts w:ascii="Arial" w:hAnsi="Arial" w:cs="Arial"/>
                <w:b/>
                <w:sz w:val="24"/>
                <w:szCs w:val="24"/>
              </w:rPr>
            </w:pPr>
            <w:r w:rsidRPr="00E67AEB">
              <w:rPr>
                <w:rFonts w:ascii="Arial" w:hAnsi="Arial" w:cs="Arial"/>
                <w:b/>
                <w:sz w:val="24"/>
                <w:szCs w:val="24"/>
              </w:rPr>
              <w:t>(1.9</w:t>
            </w:r>
            <w:r w:rsidR="007B7CDF" w:rsidRPr="00E67AEB">
              <w:rPr>
                <w:rFonts w:ascii="Arial" w:hAnsi="Arial" w:cs="Arial"/>
                <w:b/>
                <w:sz w:val="24"/>
                <w:szCs w:val="24"/>
              </w:rPr>
              <w:t>%)</w:t>
            </w:r>
          </w:p>
        </w:tc>
      </w:tr>
      <w:tr w:rsidR="007B7CDF" w:rsidRPr="00DC0DD5" w:rsidTr="0011752D">
        <w:tc>
          <w:tcPr>
            <w:tcW w:w="2835" w:type="dxa"/>
            <w:shd w:val="clear" w:color="auto" w:fill="575756"/>
          </w:tcPr>
          <w:p w:rsidR="007B7CDF" w:rsidRPr="00DC0DD5" w:rsidRDefault="007B7CDF" w:rsidP="005A49A9">
            <w:pPr>
              <w:spacing w:after="0"/>
              <w:rPr>
                <w:rFonts w:ascii="Arial" w:hAnsi="Arial" w:cs="Arial"/>
                <w:color w:val="FFFFFF" w:themeColor="background1"/>
                <w:sz w:val="24"/>
                <w:szCs w:val="24"/>
              </w:rPr>
            </w:pPr>
            <w:r w:rsidRPr="00DC0DD5">
              <w:rPr>
                <w:rFonts w:ascii="Arial" w:hAnsi="Arial" w:cs="Arial"/>
                <w:color w:val="FFFFFF" w:themeColor="background1"/>
                <w:sz w:val="24"/>
                <w:szCs w:val="24"/>
              </w:rPr>
              <w:t>White</w:t>
            </w:r>
          </w:p>
        </w:tc>
        <w:tc>
          <w:tcPr>
            <w:tcW w:w="1134"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16,418</w:t>
            </w:r>
          </w:p>
        </w:tc>
        <w:tc>
          <w:tcPr>
            <w:tcW w:w="1418"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293</w:t>
            </w:r>
          </w:p>
        </w:tc>
        <w:tc>
          <w:tcPr>
            <w:tcW w:w="1559" w:type="dxa"/>
            <w:shd w:val="clear" w:color="auto" w:fill="575756"/>
          </w:tcPr>
          <w:p w:rsidR="007B7CDF" w:rsidRPr="00DC0DD5" w:rsidRDefault="007B7CDF" w:rsidP="005A49A9">
            <w:pPr>
              <w:spacing w:after="0"/>
              <w:jc w:val="center"/>
              <w:rPr>
                <w:rFonts w:ascii="Arial" w:hAnsi="Arial" w:cs="Arial"/>
                <w:color w:val="FFFFFF" w:themeColor="background1"/>
                <w:sz w:val="24"/>
                <w:szCs w:val="24"/>
              </w:rPr>
            </w:pPr>
            <w:r w:rsidRPr="00DC0DD5">
              <w:rPr>
                <w:rFonts w:ascii="Arial" w:hAnsi="Arial" w:cs="Arial"/>
                <w:color w:val="FFFFFF" w:themeColor="background1"/>
                <w:sz w:val="24"/>
                <w:szCs w:val="24"/>
              </w:rPr>
              <w:t>3,358</w:t>
            </w:r>
          </w:p>
        </w:tc>
        <w:tc>
          <w:tcPr>
            <w:tcW w:w="1134" w:type="dxa"/>
            <w:shd w:val="clear" w:color="auto" w:fill="575756"/>
          </w:tcPr>
          <w:p w:rsidR="007B7CDF" w:rsidRPr="00E67AEB" w:rsidRDefault="00E67AEB" w:rsidP="005A49A9">
            <w:pPr>
              <w:spacing w:after="0"/>
              <w:jc w:val="center"/>
              <w:rPr>
                <w:rFonts w:ascii="Arial" w:hAnsi="Arial" w:cs="Arial"/>
                <w:color w:val="FFFFFF" w:themeColor="background1"/>
                <w:sz w:val="24"/>
                <w:szCs w:val="24"/>
              </w:rPr>
            </w:pPr>
            <w:r w:rsidRPr="00E67AEB">
              <w:rPr>
                <w:rFonts w:ascii="Arial" w:hAnsi="Arial" w:cs="Arial"/>
                <w:color w:val="FFFFFF" w:themeColor="background1"/>
                <w:sz w:val="24"/>
                <w:szCs w:val="24"/>
              </w:rPr>
              <w:t>2,926</w:t>
            </w:r>
          </w:p>
        </w:tc>
        <w:tc>
          <w:tcPr>
            <w:tcW w:w="1276" w:type="dxa"/>
            <w:shd w:val="clear" w:color="auto" w:fill="575756"/>
          </w:tcPr>
          <w:p w:rsidR="007B7CDF" w:rsidRPr="00E67AEB" w:rsidRDefault="00E67AEB" w:rsidP="005A49A9">
            <w:pPr>
              <w:spacing w:after="0"/>
              <w:jc w:val="center"/>
              <w:rPr>
                <w:rFonts w:ascii="Arial" w:hAnsi="Arial" w:cs="Arial"/>
                <w:b/>
                <w:color w:val="FFFFFF" w:themeColor="background1"/>
                <w:sz w:val="24"/>
                <w:szCs w:val="24"/>
              </w:rPr>
            </w:pPr>
            <w:r w:rsidRPr="00E67AEB">
              <w:rPr>
                <w:rFonts w:ascii="Arial" w:hAnsi="Arial" w:cs="Arial"/>
                <w:b/>
                <w:color w:val="FFFFFF" w:themeColor="background1"/>
                <w:sz w:val="24"/>
                <w:szCs w:val="24"/>
              </w:rPr>
              <w:t>22,995</w:t>
            </w:r>
          </w:p>
          <w:p w:rsidR="007B7CDF" w:rsidRPr="00E67AEB" w:rsidRDefault="00E67AEB" w:rsidP="005A49A9">
            <w:pPr>
              <w:spacing w:after="0"/>
              <w:jc w:val="center"/>
              <w:rPr>
                <w:rFonts w:ascii="Arial" w:hAnsi="Arial" w:cs="Arial"/>
                <w:b/>
                <w:color w:val="FFFFFF" w:themeColor="background1"/>
                <w:sz w:val="24"/>
                <w:szCs w:val="24"/>
              </w:rPr>
            </w:pPr>
            <w:r w:rsidRPr="00E67AEB">
              <w:rPr>
                <w:rFonts w:ascii="Arial" w:hAnsi="Arial" w:cs="Arial"/>
                <w:b/>
                <w:color w:val="FFFFFF" w:themeColor="background1"/>
                <w:sz w:val="24"/>
                <w:szCs w:val="24"/>
              </w:rPr>
              <w:t>(84.4</w:t>
            </w:r>
            <w:r w:rsidR="007B7CDF" w:rsidRPr="00E67AEB">
              <w:rPr>
                <w:rFonts w:ascii="Arial" w:hAnsi="Arial" w:cs="Arial"/>
                <w:b/>
                <w:color w:val="FFFFFF" w:themeColor="background1"/>
                <w:sz w:val="24"/>
                <w:szCs w:val="24"/>
              </w:rPr>
              <w:t>%)</w:t>
            </w:r>
          </w:p>
        </w:tc>
      </w:tr>
      <w:tr w:rsidR="007B7CDF" w:rsidRPr="00E5532D" w:rsidTr="005809E3">
        <w:tc>
          <w:tcPr>
            <w:tcW w:w="2835" w:type="dxa"/>
            <w:shd w:val="clear" w:color="auto" w:fill="E0E0E0"/>
          </w:tcPr>
          <w:p w:rsidR="007B7CDF" w:rsidRPr="00E5532D" w:rsidRDefault="007B7CDF" w:rsidP="005A49A9">
            <w:pPr>
              <w:spacing w:after="0"/>
              <w:rPr>
                <w:rFonts w:ascii="Arial" w:hAnsi="Arial" w:cs="Arial"/>
                <w:sz w:val="24"/>
                <w:szCs w:val="24"/>
              </w:rPr>
            </w:pPr>
            <w:r w:rsidRPr="00E5532D">
              <w:rPr>
                <w:rFonts w:ascii="Arial" w:hAnsi="Arial" w:cs="Arial"/>
                <w:sz w:val="24"/>
                <w:szCs w:val="24"/>
              </w:rPr>
              <w:t>Not Known</w:t>
            </w:r>
          </w:p>
        </w:tc>
        <w:tc>
          <w:tcPr>
            <w:tcW w:w="1134" w:type="dxa"/>
            <w:shd w:val="clear" w:color="auto" w:fill="E0E0E0"/>
          </w:tcPr>
          <w:p w:rsidR="007B7CDF" w:rsidRPr="00910DD5" w:rsidRDefault="007B7CDF" w:rsidP="005A49A9">
            <w:pPr>
              <w:spacing w:after="0"/>
              <w:jc w:val="center"/>
              <w:rPr>
                <w:rFonts w:ascii="Arial" w:hAnsi="Arial" w:cs="Arial"/>
                <w:sz w:val="24"/>
                <w:szCs w:val="24"/>
              </w:rPr>
            </w:pPr>
            <w:r w:rsidRPr="00910DD5">
              <w:rPr>
                <w:rFonts w:ascii="Arial" w:hAnsi="Arial" w:cs="Arial"/>
                <w:sz w:val="24"/>
                <w:szCs w:val="24"/>
              </w:rPr>
              <w:t>0</w:t>
            </w:r>
          </w:p>
        </w:tc>
        <w:tc>
          <w:tcPr>
            <w:tcW w:w="1418" w:type="dxa"/>
            <w:shd w:val="clear" w:color="auto" w:fill="E0E0E0"/>
          </w:tcPr>
          <w:p w:rsidR="007B7CDF" w:rsidRPr="00910DD5" w:rsidRDefault="007B7CDF" w:rsidP="005A49A9">
            <w:pPr>
              <w:spacing w:after="0"/>
              <w:jc w:val="center"/>
              <w:rPr>
                <w:rFonts w:ascii="Arial" w:hAnsi="Arial" w:cs="Arial"/>
                <w:sz w:val="24"/>
                <w:szCs w:val="24"/>
              </w:rPr>
            </w:pPr>
            <w:r w:rsidRPr="00910DD5">
              <w:rPr>
                <w:rFonts w:ascii="Arial" w:hAnsi="Arial" w:cs="Arial"/>
                <w:sz w:val="24"/>
                <w:szCs w:val="24"/>
              </w:rPr>
              <w:t>0</w:t>
            </w:r>
          </w:p>
        </w:tc>
        <w:tc>
          <w:tcPr>
            <w:tcW w:w="1559" w:type="dxa"/>
            <w:shd w:val="clear" w:color="auto" w:fill="E0E0E0"/>
          </w:tcPr>
          <w:p w:rsidR="007B7CDF" w:rsidRPr="00910DD5" w:rsidRDefault="007B7CDF" w:rsidP="005A49A9">
            <w:pPr>
              <w:spacing w:after="0"/>
              <w:jc w:val="center"/>
              <w:rPr>
                <w:rFonts w:ascii="Arial" w:hAnsi="Arial" w:cs="Arial"/>
                <w:sz w:val="24"/>
                <w:szCs w:val="24"/>
              </w:rPr>
            </w:pPr>
            <w:r w:rsidRPr="00910DD5">
              <w:rPr>
                <w:rFonts w:ascii="Arial" w:hAnsi="Arial" w:cs="Arial"/>
                <w:sz w:val="24"/>
                <w:szCs w:val="24"/>
              </w:rPr>
              <w:t>0</w:t>
            </w:r>
          </w:p>
        </w:tc>
        <w:tc>
          <w:tcPr>
            <w:tcW w:w="1134" w:type="dxa"/>
            <w:shd w:val="clear" w:color="auto" w:fill="E0E0E0"/>
          </w:tcPr>
          <w:p w:rsidR="007B7CDF" w:rsidRPr="00E67AEB" w:rsidRDefault="00E67AEB" w:rsidP="005A49A9">
            <w:pPr>
              <w:spacing w:after="0"/>
              <w:jc w:val="center"/>
              <w:rPr>
                <w:rFonts w:ascii="Arial" w:hAnsi="Arial" w:cs="Arial"/>
                <w:sz w:val="24"/>
                <w:szCs w:val="24"/>
              </w:rPr>
            </w:pPr>
            <w:r w:rsidRPr="00E67AEB">
              <w:rPr>
                <w:rFonts w:ascii="Arial" w:hAnsi="Arial" w:cs="Arial"/>
                <w:sz w:val="24"/>
                <w:szCs w:val="24"/>
              </w:rPr>
              <w:t>33</w:t>
            </w:r>
          </w:p>
        </w:tc>
        <w:tc>
          <w:tcPr>
            <w:tcW w:w="1276" w:type="dxa"/>
            <w:shd w:val="clear" w:color="auto" w:fill="E0E0E0"/>
          </w:tcPr>
          <w:p w:rsidR="007B7CDF" w:rsidRPr="00E67AEB" w:rsidRDefault="00E67AEB" w:rsidP="005A49A9">
            <w:pPr>
              <w:spacing w:after="0"/>
              <w:jc w:val="center"/>
              <w:rPr>
                <w:rFonts w:ascii="Arial" w:hAnsi="Arial" w:cs="Arial"/>
                <w:b/>
                <w:sz w:val="24"/>
                <w:szCs w:val="24"/>
              </w:rPr>
            </w:pPr>
            <w:r w:rsidRPr="00E67AEB">
              <w:rPr>
                <w:rFonts w:ascii="Arial" w:hAnsi="Arial" w:cs="Arial"/>
                <w:b/>
                <w:sz w:val="24"/>
                <w:szCs w:val="24"/>
              </w:rPr>
              <w:t>33</w:t>
            </w:r>
          </w:p>
          <w:p w:rsidR="007B7CDF" w:rsidRPr="00E67AEB" w:rsidRDefault="007B7CDF" w:rsidP="005A49A9">
            <w:pPr>
              <w:spacing w:after="0"/>
              <w:jc w:val="center"/>
              <w:rPr>
                <w:rFonts w:ascii="Arial" w:hAnsi="Arial" w:cs="Arial"/>
                <w:b/>
                <w:sz w:val="24"/>
                <w:szCs w:val="24"/>
              </w:rPr>
            </w:pPr>
            <w:r w:rsidRPr="00E67AEB">
              <w:rPr>
                <w:rFonts w:ascii="Arial" w:hAnsi="Arial" w:cs="Arial"/>
                <w:b/>
                <w:sz w:val="24"/>
                <w:szCs w:val="24"/>
              </w:rPr>
              <w:t>(0.1%)</w:t>
            </w:r>
          </w:p>
        </w:tc>
      </w:tr>
      <w:tr w:rsidR="007B7CDF" w:rsidRPr="00DC0DD5" w:rsidTr="0011752D">
        <w:tc>
          <w:tcPr>
            <w:tcW w:w="2835" w:type="dxa"/>
            <w:shd w:val="clear" w:color="auto" w:fill="575756"/>
          </w:tcPr>
          <w:p w:rsidR="007B7CDF" w:rsidRPr="00DC0DD5" w:rsidRDefault="007B7CDF" w:rsidP="005A49A9">
            <w:pPr>
              <w:spacing w:after="0"/>
              <w:rPr>
                <w:rFonts w:ascii="Arial" w:hAnsi="Arial" w:cs="Arial"/>
                <w:b/>
                <w:color w:val="FFFFFF" w:themeColor="background1"/>
                <w:sz w:val="24"/>
                <w:szCs w:val="24"/>
              </w:rPr>
            </w:pPr>
            <w:r w:rsidRPr="00DC0DD5">
              <w:rPr>
                <w:rFonts w:ascii="Arial" w:hAnsi="Arial" w:cs="Arial"/>
                <w:b/>
                <w:color w:val="FFFFFF" w:themeColor="background1"/>
                <w:sz w:val="24"/>
                <w:szCs w:val="24"/>
              </w:rPr>
              <w:t>Total</w:t>
            </w:r>
          </w:p>
        </w:tc>
        <w:tc>
          <w:tcPr>
            <w:tcW w:w="1134" w:type="dxa"/>
            <w:shd w:val="clear" w:color="auto" w:fill="575756"/>
          </w:tcPr>
          <w:p w:rsidR="007B7CDF" w:rsidRPr="00DC0DD5" w:rsidRDefault="007B7CDF" w:rsidP="005A49A9">
            <w:pPr>
              <w:spacing w:after="0"/>
              <w:jc w:val="center"/>
              <w:rPr>
                <w:rFonts w:ascii="Arial" w:hAnsi="Arial" w:cs="Arial"/>
                <w:b/>
                <w:color w:val="FFFFFF" w:themeColor="background1"/>
                <w:sz w:val="24"/>
                <w:szCs w:val="24"/>
              </w:rPr>
            </w:pPr>
            <w:r w:rsidRPr="00DC0DD5">
              <w:rPr>
                <w:rFonts w:ascii="Arial" w:hAnsi="Arial" w:cs="Arial"/>
                <w:b/>
                <w:color w:val="FFFFFF" w:themeColor="background1"/>
                <w:sz w:val="24"/>
                <w:szCs w:val="24"/>
              </w:rPr>
              <w:t>19,734</w:t>
            </w:r>
          </w:p>
        </w:tc>
        <w:tc>
          <w:tcPr>
            <w:tcW w:w="1418" w:type="dxa"/>
            <w:shd w:val="clear" w:color="auto" w:fill="575756"/>
          </w:tcPr>
          <w:p w:rsidR="007B7CDF" w:rsidRPr="00DC0DD5" w:rsidRDefault="007B7CDF" w:rsidP="005A49A9">
            <w:pPr>
              <w:spacing w:after="0"/>
              <w:jc w:val="center"/>
              <w:rPr>
                <w:rFonts w:ascii="Arial" w:hAnsi="Arial" w:cs="Arial"/>
                <w:b/>
                <w:color w:val="FFFFFF" w:themeColor="background1"/>
                <w:sz w:val="24"/>
                <w:szCs w:val="24"/>
              </w:rPr>
            </w:pPr>
            <w:r w:rsidRPr="00DC0DD5">
              <w:rPr>
                <w:rFonts w:ascii="Arial" w:hAnsi="Arial" w:cs="Arial"/>
                <w:b/>
                <w:color w:val="FFFFFF" w:themeColor="background1"/>
                <w:sz w:val="24"/>
                <w:szCs w:val="24"/>
              </w:rPr>
              <w:t>359</w:t>
            </w:r>
          </w:p>
        </w:tc>
        <w:tc>
          <w:tcPr>
            <w:tcW w:w="1559" w:type="dxa"/>
            <w:shd w:val="clear" w:color="auto" w:fill="575756"/>
          </w:tcPr>
          <w:p w:rsidR="007B7CDF" w:rsidRPr="00DC0DD5" w:rsidRDefault="007B7CDF" w:rsidP="005A49A9">
            <w:pPr>
              <w:spacing w:after="0"/>
              <w:jc w:val="center"/>
              <w:rPr>
                <w:rFonts w:ascii="Arial" w:hAnsi="Arial" w:cs="Arial"/>
                <w:b/>
                <w:color w:val="FFFFFF" w:themeColor="background1"/>
                <w:sz w:val="24"/>
                <w:szCs w:val="24"/>
              </w:rPr>
            </w:pPr>
            <w:r w:rsidRPr="00DC0DD5">
              <w:rPr>
                <w:rFonts w:ascii="Arial" w:hAnsi="Arial" w:cs="Arial"/>
                <w:b/>
                <w:color w:val="FFFFFF" w:themeColor="background1"/>
                <w:sz w:val="24"/>
                <w:szCs w:val="24"/>
              </w:rPr>
              <w:t>4,103</w:t>
            </w:r>
          </w:p>
        </w:tc>
        <w:tc>
          <w:tcPr>
            <w:tcW w:w="1134" w:type="dxa"/>
            <w:shd w:val="clear" w:color="auto" w:fill="575756"/>
          </w:tcPr>
          <w:p w:rsidR="007B7CDF" w:rsidRPr="00E67AEB" w:rsidRDefault="00E67AEB" w:rsidP="005A49A9">
            <w:pPr>
              <w:spacing w:after="0"/>
              <w:jc w:val="center"/>
              <w:rPr>
                <w:rFonts w:ascii="Arial" w:hAnsi="Arial" w:cs="Arial"/>
                <w:b/>
                <w:color w:val="FFFFFF" w:themeColor="background1"/>
                <w:sz w:val="24"/>
                <w:szCs w:val="24"/>
              </w:rPr>
            </w:pPr>
            <w:r w:rsidRPr="00E67AEB">
              <w:rPr>
                <w:rFonts w:ascii="Arial" w:hAnsi="Arial" w:cs="Arial"/>
                <w:b/>
                <w:color w:val="FFFFFF" w:themeColor="background1"/>
                <w:sz w:val="24"/>
                <w:szCs w:val="24"/>
              </w:rPr>
              <w:t>3,064</w:t>
            </w:r>
          </w:p>
        </w:tc>
        <w:tc>
          <w:tcPr>
            <w:tcW w:w="1276" w:type="dxa"/>
            <w:shd w:val="clear" w:color="auto" w:fill="575756"/>
          </w:tcPr>
          <w:p w:rsidR="007B7CDF" w:rsidRPr="00E67AEB" w:rsidRDefault="00E67AEB" w:rsidP="005A49A9">
            <w:pPr>
              <w:spacing w:after="0"/>
              <w:jc w:val="center"/>
              <w:rPr>
                <w:rFonts w:ascii="Arial" w:hAnsi="Arial" w:cs="Arial"/>
                <w:b/>
                <w:color w:val="FFFFFF" w:themeColor="background1"/>
                <w:sz w:val="24"/>
                <w:szCs w:val="24"/>
              </w:rPr>
            </w:pPr>
            <w:r w:rsidRPr="00E67AEB">
              <w:rPr>
                <w:rFonts w:ascii="Arial" w:hAnsi="Arial" w:cs="Arial"/>
                <w:b/>
                <w:color w:val="FFFFFF" w:themeColor="background1"/>
                <w:sz w:val="24"/>
                <w:szCs w:val="24"/>
              </w:rPr>
              <w:t>27,260</w:t>
            </w:r>
          </w:p>
        </w:tc>
      </w:tr>
    </w:tbl>
    <w:p w:rsidR="00613089" w:rsidRDefault="00613089" w:rsidP="007B7CDF">
      <w:pPr>
        <w:spacing w:after="0"/>
        <w:rPr>
          <w:rFonts w:ascii="Arial" w:hAnsi="Arial" w:cs="Arial"/>
          <w:b/>
          <w:sz w:val="24"/>
          <w:szCs w:val="24"/>
        </w:rPr>
      </w:pPr>
    </w:p>
    <w:p w:rsidR="00613089" w:rsidRDefault="00613089">
      <w:pPr>
        <w:rPr>
          <w:rFonts w:ascii="Arial" w:hAnsi="Arial" w:cs="Arial"/>
          <w:b/>
          <w:sz w:val="24"/>
          <w:szCs w:val="24"/>
        </w:rPr>
      </w:pPr>
      <w:r>
        <w:rPr>
          <w:rFonts w:ascii="Arial" w:hAnsi="Arial" w:cs="Arial"/>
          <w:b/>
          <w:sz w:val="24"/>
          <w:szCs w:val="24"/>
        </w:rPr>
        <w:br w:type="page"/>
      </w:r>
    </w:p>
    <w:tbl>
      <w:tblPr>
        <w:tblStyle w:val="TableGrid"/>
        <w:tblW w:w="0" w:type="auto"/>
        <w:shd w:val="clear" w:color="auto" w:fill="0058DA"/>
        <w:tblLook w:val="04A0" w:firstRow="1" w:lastRow="0" w:firstColumn="1" w:lastColumn="0" w:noHBand="0" w:noVBand="1"/>
      </w:tblPr>
      <w:tblGrid>
        <w:gridCol w:w="9016"/>
      </w:tblGrid>
      <w:tr w:rsidR="007B7CDF" w:rsidRPr="006D7A22" w:rsidTr="005A49A9">
        <w:tc>
          <w:tcPr>
            <w:tcW w:w="9016" w:type="dxa"/>
            <w:tcBorders>
              <w:top w:val="nil"/>
              <w:left w:val="nil"/>
              <w:bottom w:val="nil"/>
              <w:right w:val="nil"/>
            </w:tcBorders>
            <w:shd w:val="clear" w:color="auto" w:fill="00ACE9"/>
          </w:tcPr>
          <w:p w:rsidR="007B7CDF" w:rsidRPr="00546F92" w:rsidRDefault="007B7CDF" w:rsidP="005A49A9">
            <w:pPr>
              <w:spacing w:line="259" w:lineRule="auto"/>
              <w:jc w:val="center"/>
              <w:rPr>
                <w:rFonts w:ascii="Arial" w:hAnsi="Arial" w:cs="Arial"/>
                <w:b/>
                <w:sz w:val="24"/>
                <w:szCs w:val="24"/>
              </w:rPr>
            </w:pPr>
            <w:r w:rsidRPr="008E2ACA">
              <w:rPr>
                <w:rFonts w:ascii="Arial" w:hAnsi="Arial" w:cs="Arial"/>
                <w:b/>
                <w:color w:val="FFFFFF" w:themeColor="background1"/>
                <w:sz w:val="24"/>
                <w:szCs w:val="24"/>
              </w:rPr>
              <w:lastRenderedPageBreak/>
              <w:t>16-18 Year Olds FE Participation Summary</w:t>
            </w:r>
          </w:p>
        </w:tc>
      </w:tr>
    </w:tbl>
    <w:p w:rsidR="007B7CDF" w:rsidRPr="00613089" w:rsidRDefault="007B7CDF" w:rsidP="007B7CDF">
      <w:pPr>
        <w:spacing w:after="0"/>
        <w:rPr>
          <w:rFonts w:ascii="Arial" w:hAnsi="Arial" w:cs="Arial"/>
          <w:sz w:val="24"/>
          <w:szCs w:val="24"/>
        </w:rPr>
      </w:pP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5449"/>
        <w:gridCol w:w="2919"/>
      </w:tblGrid>
      <w:tr w:rsidR="007B7CDF" w:rsidTr="007D7D3A">
        <w:trPr>
          <w:trHeight w:val="1097"/>
        </w:trPr>
        <w:tc>
          <w:tcPr>
            <w:tcW w:w="1277"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6294E8E6" wp14:editId="05B7992C">
                  <wp:extent cx="648000" cy="648000"/>
                  <wp:effectExtent l="0" t="0" r="0" b="0"/>
                  <wp:docPr id="250" name="Picture 250" descr="location-m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cation-map-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8" w:type="dxa"/>
            <w:gridSpan w:val="2"/>
            <w:vAlign w:val="center"/>
          </w:tcPr>
          <w:p w:rsidR="007B7CDF" w:rsidRPr="007031FA" w:rsidRDefault="007B7CDF" w:rsidP="005A49A9">
            <w:pPr>
              <w:rPr>
                <w:rFonts w:ascii="Arial" w:hAnsi="Arial" w:cs="Arial"/>
                <w:sz w:val="24"/>
                <w:szCs w:val="24"/>
              </w:rPr>
            </w:pPr>
            <w:r w:rsidRPr="007031FA">
              <w:rPr>
                <w:rFonts w:ascii="Arial" w:hAnsi="Arial" w:cs="Arial"/>
                <w:sz w:val="24"/>
                <w:szCs w:val="24"/>
              </w:rPr>
              <w:t xml:space="preserve">Provision </w:t>
            </w:r>
            <w:r>
              <w:rPr>
                <w:rFonts w:ascii="Arial" w:hAnsi="Arial" w:cs="Arial"/>
                <w:sz w:val="24"/>
                <w:szCs w:val="24"/>
              </w:rPr>
              <w:t xml:space="preserve">is being </w:t>
            </w:r>
            <w:r w:rsidRPr="007031FA">
              <w:rPr>
                <w:rFonts w:ascii="Arial" w:hAnsi="Arial" w:cs="Arial"/>
                <w:sz w:val="24"/>
                <w:szCs w:val="24"/>
              </w:rPr>
              <w:t xml:space="preserve">accessed in </w:t>
            </w:r>
            <w:r>
              <w:rPr>
                <w:rFonts w:ascii="Arial" w:hAnsi="Arial" w:cs="Arial"/>
                <w:sz w:val="24"/>
                <w:szCs w:val="24"/>
              </w:rPr>
              <w:t>51</w:t>
            </w:r>
            <w:r w:rsidRPr="007031FA">
              <w:rPr>
                <w:rFonts w:ascii="Arial" w:hAnsi="Arial" w:cs="Arial"/>
                <w:sz w:val="24"/>
                <w:szCs w:val="24"/>
              </w:rPr>
              <w:t xml:space="preserve"> local authority area</w:t>
            </w:r>
            <w:r>
              <w:rPr>
                <w:rFonts w:ascii="Arial" w:hAnsi="Arial" w:cs="Arial"/>
                <w:sz w:val="24"/>
                <w:szCs w:val="24"/>
              </w:rPr>
              <w:t>s</w:t>
            </w:r>
            <w:r w:rsidRPr="007031FA">
              <w:rPr>
                <w:rFonts w:ascii="Arial" w:hAnsi="Arial" w:cs="Arial"/>
                <w:sz w:val="24"/>
                <w:szCs w:val="24"/>
              </w:rPr>
              <w:t>, with 7</w:t>
            </w:r>
            <w:r>
              <w:rPr>
                <w:rFonts w:ascii="Arial" w:hAnsi="Arial" w:cs="Arial"/>
                <w:sz w:val="24"/>
                <w:szCs w:val="24"/>
              </w:rPr>
              <w:t>3.3</w:t>
            </w:r>
            <w:r w:rsidRPr="007031FA">
              <w:rPr>
                <w:rFonts w:ascii="Arial" w:hAnsi="Arial" w:cs="Arial"/>
                <w:sz w:val="24"/>
                <w:szCs w:val="24"/>
              </w:rPr>
              <w:t>% (14,</w:t>
            </w:r>
            <w:r>
              <w:rPr>
                <w:rFonts w:ascii="Arial" w:hAnsi="Arial" w:cs="Arial"/>
                <w:sz w:val="24"/>
                <w:szCs w:val="24"/>
              </w:rPr>
              <w:t>459</w:t>
            </w:r>
            <w:r w:rsidR="00B33C63">
              <w:rPr>
                <w:rFonts w:ascii="Arial" w:hAnsi="Arial" w:cs="Arial"/>
                <w:sz w:val="24"/>
                <w:szCs w:val="24"/>
              </w:rPr>
              <w:t xml:space="preserve"> Lancashire residents</w:t>
            </w:r>
            <w:r w:rsidRPr="007031FA">
              <w:rPr>
                <w:rFonts w:ascii="Arial" w:hAnsi="Arial" w:cs="Arial"/>
                <w:sz w:val="24"/>
                <w:szCs w:val="24"/>
              </w:rPr>
              <w:t>) accessing 16-18 FE provision at Lancashire based providers.  Outside of Lancashire, the main areas are Blackpool at 9.</w:t>
            </w:r>
            <w:r>
              <w:rPr>
                <w:rFonts w:ascii="Arial" w:hAnsi="Arial" w:cs="Arial"/>
                <w:sz w:val="24"/>
                <w:szCs w:val="24"/>
              </w:rPr>
              <w:t>5</w:t>
            </w:r>
            <w:r w:rsidRPr="007031FA">
              <w:rPr>
                <w:rFonts w:ascii="Arial" w:hAnsi="Arial" w:cs="Arial"/>
                <w:sz w:val="24"/>
                <w:szCs w:val="24"/>
              </w:rPr>
              <w:t xml:space="preserve">%, Blackburn with </w:t>
            </w:r>
            <w:proofErr w:type="spellStart"/>
            <w:r w:rsidRPr="007031FA">
              <w:rPr>
                <w:rFonts w:ascii="Arial" w:hAnsi="Arial" w:cs="Arial"/>
                <w:sz w:val="24"/>
                <w:szCs w:val="24"/>
              </w:rPr>
              <w:t>Darwen</w:t>
            </w:r>
            <w:proofErr w:type="spellEnd"/>
            <w:r w:rsidRPr="007031FA">
              <w:rPr>
                <w:rFonts w:ascii="Arial" w:hAnsi="Arial" w:cs="Arial"/>
                <w:sz w:val="24"/>
                <w:szCs w:val="24"/>
              </w:rPr>
              <w:t xml:space="preserve"> at </w:t>
            </w:r>
            <w:r>
              <w:rPr>
                <w:rFonts w:ascii="Arial" w:hAnsi="Arial" w:cs="Arial"/>
                <w:sz w:val="24"/>
                <w:szCs w:val="24"/>
              </w:rPr>
              <w:t>6</w:t>
            </w:r>
            <w:r w:rsidRPr="007031FA">
              <w:rPr>
                <w:rFonts w:ascii="Arial" w:hAnsi="Arial" w:cs="Arial"/>
                <w:sz w:val="24"/>
                <w:szCs w:val="24"/>
              </w:rPr>
              <w:t>.9</w:t>
            </w:r>
            <w:r>
              <w:rPr>
                <w:rFonts w:ascii="Arial" w:hAnsi="Arial" w:cs="Arial"/>
                <w:sz w:val="24"/>
                <w:szCs w:val="24"/>
              </w:rPr>
              <w:t>% and Wigan at 3.9</w:t>
            </w:r>
            <w:r w:rsidRPr="007031FA">
              <w:rPr>
                <w:rFonts w:ascii="Arial" w:hAnsi="Arial" w:cs="Arial"/>
                <w:sz w:val="24"/>
                <w:szCs w:val="24"/>
              </w:rPr>
              <w:t>%</w:t>
            </w:r>
          </w:p>
        </w:tc>
      </w:tr>
      <w:tr w:rsidR="007D7D3A" w:rsidRPr="007D7D3A" w:rsidTr="007D7D3A">
        <w:trPr>
          <w:trHeight w:val="70"/>
        </w:trPr>
        <w:tc>
          <w:tcPr>
            <w:tcW w:w="1277" w:type="dxa"/>
            <w:vAlign w:val="center"/>
          </w:tcPr>
          <w:p w:rsidR="007D7D3A" w:rsidRPr="007D7D3A" w:rsidRDefault="007D7D3A" w:rsidP="005A49A9">
            <w:pPr>
              <w:rPr>
                <w:rFonts w:ascii="Arial" w:hAnsi="Arial" w:cs="Arial"/>
                <w:noProof/>
                <w:sz w:val="8"/>
                <w:szCs w:val="8"/>
                <w:lang w:eastAsia="en-GB"/>
              </w:rPr>
            </w:pPr>
          </w:p>
        </w:tc>
        <w:tc>
          <w:tcPr>
            <w:tcW w:w="8368" w:type="dxa"/>
            <w:gridSpan w:val="2"/>
            <w:vAlign w:val="center"/>
          </w:tcPr>
          <w:p w:rsidR="007D7D3A" w:rsidRPr="007D7D3A" w:rsidRDefault="007D7D3A" w:rsidP="005A49A9">
            <w:pPr>
              <w:rPr>
                <w:rFonts w:ascii="Arial" w:hAnsi="Arial" w:cs="Arial"/>
                <w:sz w:val="8"/>
                <w:szCs w:val="8"/>
              </w:rPr>
            </w:pPr>
          </w:p>
        </w:tc>
      </w:tr>
      <w:tr w:rsidR="007B7CDF" w:rsidTr="007D7D3A">
        <w:trPr>
          <w:trHeight w:val="1113"/>
        </w:trPr>
        <w:tc>
          <w:tcPr>
            <w:tcW w:w="1277"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6F7BE9C0" wp14:editId="7FC35080">
                  <wp:extent cx="648000" cy="648000"/>
                  <wp:effectExtent l="0" t="0" r="0" b="0"/>
                  <wp:docPr id="251" name="Picture 251" descr="sort-up-or-sort-down-couple-of-arrow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rt-up-or-sort-down-couple-of-arrows-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8" w:type="dxa"/>
            <w:gridSpan w:val="2"/>
            <w:vAlign w:val="center"/>
          </w:tcPr>
          <w:p w:rsidR="007B7CDF" w:rsidRPr="007031FA" w:rsidRDefault="007B7CDF" w:rsidP="00B33C63">
            <w:pPr>
              <w:rPr>
                <w:rFonts w:ascii="Arial" w:hAnsi="Arial" w:cs="Arial"/>
                <w:sz w:val="24"/>
                <w:szCs w:val="24"/>
              </w:rPr>
            </w:pPr>
            <w:r>
              <w:rPr>
                <w:rFonts w:ascii="Arial" w:hAnsi="Arial" w:cs="Arial"/>
                <w:sz w:val="24"/>
                <w:szCs w:val="24"/>
              </w:rPr>
              <w:t xml:space="preserve">From 2016/17 to 2017/18, the main changes to where students are accessing provision are: 220 fewer in Blackburn with </w:t>
            </w:r>
            <w:proofErr w:type="spellStart"/>
            <w:r>
              <w:rPr>
                <w:rFonts w:ascii="Arial" w:hAnsi="Arial" w:cs="Arial"/>
                <w:sz w:val="24"/>
                <w:szCs w:val="24"/>
              </w:rPr>
              <w:t>Darwen</w:t>
            </w:r>
            <w:proofErr w:type="spellEnd"/>
            <w:r w:rsidR="00B33C63">
              <w:rPr>
                <w:rFonts w:ascii="Arial" w:hAnsi="Arial" w:cs="Arial"/>
                <w:sz w:val="24"/>
                <w:szCs w:val="24"/>
              </w:rPr>
              <w:t xml:space="preserve">, </w:t>
            </w:r>
            <w:r>
              <w:rPr>
                <w:rFonts w:ascii="Arial" w:hAnsi="Arial" w:cs="Arial"/>
                <w:sz w:val="24"/>
                <w:szCs w:val="24"/>
              </w:rPr>
              <w:t>62 fewer in Blackpool and 59 fewer in Lancashire</w:t>
            </w:r>
          </w:p>
        </w:tc>
      </w:tr>
      <w:tr w:rsidR="007D7D3A" w:rsidRPr="007D7D3A" w:rsidTr="007D7D3A">
        <w:trPr>
          <w:trHeight w:val="70"/>
        </w:trPr>
        <w:tc>
          <w:tcPr>
            <w:tcW w:w="1277" w:type="dxa"/>
            <w:vAlign w:val="center"/>
          </w:tcPr>
          <w:p w:rsidR="007D7D3A" w:rsidRPr="007D7D3A" w:rsidRDefault="007D7D3A" w:rsidP="005A49A9">
            <w:pPr>
              <w:rPr>
                <w:rFonts w:ascii="Arial" w:hAnsi="Arial" w:cs="Arial"/>
                <w:noProof/>
                <w:sz w:val="8"/>
                <w:szCs w:val="8"/>
                <w:lang w:eastAsia="en-GB"/>
              </w:rPr>
            </w:pPr>
          </w:p>
        </w:tc>
        <w:tc>
          <w:tcPr>
            <w:tcW w:w="8368" w:type="dxa"/>
            <w:gridSpan w:val="2"/>
            <w:vAlign w:val="center"/>
          </w:tcPr>
          <w:p w:rsidR="007D7D3A" w:rsidRPr="007D7D3A" w:rsidRDefault="007D7D3A" w:rsidP="005A49A9">
            <w:pPr>
              <w:rPr>
                <w:rFonts w:ascii="Arial" w:hAnsi="Arial" w:cs="Arial"/>
                <w:sz w:val="8"/>
                <w:szCs w:val="8"/>
              </w:rPr>
            </w:pPr>
          </w:p>
        </w:tc>
      </w:tr>
      <w:tr w:rsidR="007B7CDF" w:rsidTr="007D7D3A">
        <w:trPr>
          <w:trHeight w:val="1301"/>
        </w:trPr>
        <w:tc>
          <w:tcPr>
            <w:tcW w:w="1277"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02F4321E" wp14:editId="6D3366DD">
                  <wp:extent cx="648000" cy="648000"/>
                  <wp:effectExtent l="0" t="0" r="0" b="0"/>
                  <wp:docPr id="252" name="Picture 252" descr="universit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iversity-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8" w:type="dxa"/>
            <w:gridSpan w:val="2"/>
            <w:vAlign w:val="center"/>
          </w:tcPr>
          <w:p w:rsidR="007B7CDF" w:rsidRPr="007031FA" w:rsidRDefault="007B7CDF" w:rsidP="005A49A9">
            <w:pPr>
              <w:rPr>
                <w:rFonts w:ascii="Arial" w:hAnsi="Arial" w:cs="Arial"/>
                <w:sz w:val="24"/>
                <w:szCs w:val="24"/>
              </w:rPr>
            </w:pPr>
            <w:r>
              <w:rPr>
                <w:rFonts w:ascii="Arial" w:hAnsi="Arial" w:cs="Arial"/>
                <w:sz w:val="24"/>
                <w:szCs w:val="24"/>
              </w:rPr>
              <w:t xml:space="preserve">Provision is being accessed at 87 providers.  The main providers are: Cardinal Newman College at 16.1%, </w:t>
            </w:r>
            <w:proofErr w:type="spellStart"/>
            <w:r>
              <w:rPr>
                <w:rFonts w:ascii="Arial" w:hAnsi="Arial" w:cs="Arial"/>
                <w:sz w:val="24"/>
                <w:szCs w:val="24"/>
              </w:rPr>
              <w:t>Runshaw</w:t>
            </w:r>
            <w:proofErr w:type="spellEnd"/>
            <w:r>
              <w:rPr>
                <w:rFonts w:ascii="Arial" w:hAnsi="Arial" w:cs="Arial"/>
                <w:sz w:val="24"/>
                <w:szCs w:val="24"/>
              </w:rPr>
              <w:t xml:space="preserve"> College at 15.8% and Burnley College at 10.6%</w:t>
            </w:r>
          </w:p>
        </w:tc>
      </w:tr>
      <w:tr w:rsidR="007D7D3A" w:rsidRPr="007D7D3A" w:rsidTr="007D7D3A">
        <w:trPr>
          <w:trHeight w:val="70"/>
        </w:trPr>
        <w:tc>
          <w:tcPr>
            <w:tcW w:w="1277" w:type="dxa"/>
            <w:vAlign w:val="center"/>
          </w:tcPr>
          <w:p w:rsidR="007D7D3A" w:rsidRPr="007D7D3A" w:rsidRDefault="007D7D3A" w:rsidP="005A49A9">
            <w:pPr>
              <w:rPr>
                <w:rFonts w:ascii="Arial" w:hAnsi="Arial" w:cs="Arial"/>
                <w:noProof/>
                <w:sz w:val="8"/>
                <w:szCs w:val="8"/>
                <w:lang w:eastAsia="en-GB"/>
              </w:rPr>
            </w:pPr>
          </w:p>
        </w:tc>
        <w:tc>
          <w:tcPr>
            <w:tcW w:w="8368" w:type="dxa"/>
            <w:gridSpan w:val="2"/>
            <w:vAlign w:val="center"/>
          </w:tcPr>
          <w:p w:rsidR="007D7D3A" w:rsidRPr="007D7D3A" w:rsidRDefault="007D7D3A" w:rsidP="005A49A9">
            <w:pPr>
              <w:rPr>
                <w:rFonts w:ascii="Arial" w:hAnsi="Arial" w:cs="Arial"/>
                <w:sz w:val="8"/>
                <w:szCs w:val="8"/>
              </w:rPr>
            </w:pPr>
          </w:p>
        </w:tc>
      </w:tr>
      <w:tr w:rsidR="007B7CDF" w:rsidTr="007D7D3A">
        <w:trPr>
          <w:trHeight w:val="1263"/>
        </w:trPr>
        <w:tc>
          <w:tcPr>
            <w:tcW w:w="1277"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67FE0E71" wp14:editId="187CF406">
                  <wp:extent cx="648000" cy="648000"/>
                  <wp:effectExtent l="0" t="0" r="0" b="0"/>
                  <wp:docPr id="253" name="Picture 253" descr="sort-up-or-sort-down-couple-of-arrow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rt-up-or-sort-down-couple-of-arrows-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8" w:type="dxa"/>
            <w:gridSpan w:val="2"/>
            <w:vAlign w:val="center"/>
          </w:tcPr>
          <w:p w:rsidR="007B7CDF" w:rsidRPr="007031FA" w:rsidRDefault="007B7CDF" w:rsidP="00B33C63">
            <w:pPr>
              <w:rPr>
                <w:rFonts w:ascii="Arial" w:hAnsi="Arial" w:cs="Arial"/>
                <w:sz w:val="24"/>
                <w:szCs w:val="24"/>
              </w:rPr>
            </w:pPr>
            <w:r>
              <w:rPr>
                <w:rFonts w:ascii="Arial" w:hAnsi="Arial" w:cs="Arial"/>
                <w:sz w:val="24"/>
                <w:szCs w:val="24"/>
              </w:rPr>
              <w:t>From 2016/17 to 2017/18, the main changes to where students are accessing provision are: 82 more at Southport College</w:t>
            </w:r>
            <w:r w:rsidR="00B33C63">
              <w:rPr>
                <w:rFonts w:ascii="Arial" w:hAnsi="Arial" w:cs="Arial"/>
                <w:sz w:val="24"/>
                <w:szCs w:val="24"/>
              </w:rPr>
              <w:t xml:space="preserve">, </w:t>
            </w:r>
            <w:r>
              <w:rPr>
                <w:rFonts w:ascii="Arial" w:hAnsi="Arial" w:cs="Arial"/>
                <w:sz w:val="24"/>
                <w:szCs w:val="24"/>
              </w:rPr>
              <w:t>80 more at Wigan and Leigh College</w:t>
            </w:r>
            <w:r w:rsidR="00B33C63">
              <w:rPr>
                <w:rFonts w:ascii="Arial" w:hAnsi="Arial" w:cs="Arial"/>
                <w:sz w:val="24"/>
                <w:szCs w:val="24"/>
              </w:rPr>
              <w:t xml:space="preserve">, </w:t>
            </w:r>
            <w:r>
              <w:rPr>
                <w:rFonts w:ascii="Arial" w:hAnsi="Arial" w:cs="Arial"/>
                <w:sz w:val="24"/>
                <w:szCs w:val="24"/>
              </w:rPr>
              <w:t>66 more at Cardinal Newman College and 65 fewer at St Mary's College Blackburn</w:t>
            </w:r>
          </w:p>
        </w:tc>
      </w:tr>
      <w:tr w:rsidR="007D7D3A" w:rsidRPr="007D7D3A" w:rsidTr="007D7D3A">
        <w:trPr>
          <w:trHeight w:val="70"/>
        </w:trPr>
        <w:tc>
          <w:tcPr>
            <w:tcW w:w="1277" w:type="dxa"/>
            <w:vAlign w:val="center"/>
          </w:tcPr>
          <w:p w:rsidR="007D7D3A" w:rsidRPr="007D7D3A" w:rsidRDefault="007D7D3A" w:rsidP="005A49A9">
            <w:pPr>
              <w:rPr>
                <w:rFonts w:ascii="Arial" w:hAnsi="Arial" w:cs="Arial"/>
                <w:noProof/>
                <w:sz w:val="8"/>
                <w:szCs w:val="8"/>
                <w:lang w:eastAsia="en-GB"/>
              </w:rPr>
            </w:pPr>
          </w:p>
        </w:tc>
        <w:tc>
          <w:tcPr>
            <w:tcW w:w="8368" w:type="dxa"/>
            <w:gridSpan w:val="2"/>
            <w:vAlign w:val="center"/>
          </w:tcPr>
          <w:p w:rsidR="007D7D3A" w:rsidRPr="007D7D3A" w:rsidRDefault="007D7D3A" w:rsidP="005A49A9">
            <w:pPr>
              <w:rPr>
                <w:rFonts w:ascii="Arial" w:hAnsi="Arial" w:cs="Arial"/>
                <w:sz w:val="8"/>
                <w:szCs w:val="8"/>
              </w:rPr>
            </w:pPr>
          </w:p>
        </w:tc>
      </w:tr>
      <w:tr w:rsidR="007B7CDF" w:rsidTr="007D7D3A">
        <w:trPr>
          <w:trHeight w:val="1242"/>
        </w:trPr>
        <w:tc>
          <w:tcPr>
            <w:tcW w:w="1277" w:type="dxa"/>
            <w:vAlign w:val="center"/>
          </w:tcPr>
          <w:p w:rsidR="007B7CDF" w:rsidRDefault="007B7CDF" w:rsidP="005A49A9">
            <w:pPr>
              <w:rPr>
                <w:noProof/>
                <w:lang w:eastAsia="en-GB"/>
              </w:rPr>
            </w:pPr>
            <w:r>
              <w:rPr>
                <w:noProof/>
                <w:lang w:eastAsia="en-GB"/>
              </w:rPr>
              <w:drawing>
                <wp:inline distT="0" distB="0" distL="0" distR="0" wp14:anchorId="0CAA3E09" wp14:editId="7A1A870E">
                  <wp:extent cx="648000" cy="648000"/>
                  <wp:effectExtent l="0" t="0" r="0" b="0"/>
                  <wp:docPr id="254" name="Picture 254" descr="classmat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assmates-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8" w:type="dxa"/>
            <w:gridSpan w:val="2"/>
            <w:vAlign w:val="center"/>
          </w:tcPr>
          <w:p w:rsidR="007B7CDF" w:rsidRDefault="007B7CDF" w:rsidP="005A49A9">
            <w:pPr>
              <w:rPr>
                <w:rFonts w:ascii="Arial" w:hAnsi="Arial" w:cs="Arial"/>
                <w:sz w:val="24"/>
                <w:szCs w:val="24"/>
              </w:rPr>
            </w:pPr>
            <w:r>
              <w:rPr>
                <w:rFonts w:ascii="Arial" w:hAnsi="Arial" w:cs="Arial"/>
                <w:sz w:val="24"/>
                <w:szCs w:val="24"/>
              </w:rPr>
              <w:t>50.5% of students participating are male and 49.5% are female.  Compared to 2016/17, female students have reduced by 219 and male students have reduced by 64</w:t>
            </w:r>
          </w:p>
        </w:tc>
      </w:tr>
      <w:tr w:rsidR="007D7D3A" w:rsidRPr="007D7D3A" w:rsidTr="007D7D3A">
        <w:trPr>
          <w:trHeight w:val="70"/>
        </w:trPr>
        <w:tc>
          <w:tcPr>
            <w:tcW w:w="1277" w:type="dxa"/>
            <w:vAlign w:val="center"/>
          </w:tcPr>
          <w:p w:rsidR="007D7D3A" w:rsidRPr="007D7D3A" w:rsidRDefault="007D7D3A" w:rsidP="005A49A9">
            <w:pPr>
              <w:rPr>
                <w:rFonts w:ascii="Arial" w:hAnsi="Arial" w:cs="Arial"/>
                <w:noProof/>
                <w:sz w:val="8"/>
                <w:szCs w:val="8"/>
                <w:lang w:eastAsia="en-GB"/>
              </w:rPr>
            </w:pPr>
          </w:p>
        </w:tc>
        <w:tc>
          <w:tcPr>
            <w:tcW w:w="8368" w:type="dxa"/>
            <w:gridSpan w:val="2"/>
            <w:vAlign w:val="center"/>
          </w:tcPr>
          <w:p w:rsidR="007D7D3A" w:rsidRPr="007D7D3A" w:rsidRDefault="007D7D3A" w:rsidP="005A49A9">
            <w:pPr>
              <w:rPr>
                <w:rFonts w:ascii="Arial" w:hAnsi="Arial" w:cs="Arial"/>
                <w:sz w:val="8"/>
                <w:szCs w:val="8"/>
              </w:rPr>
            </w:pPr>
          </w:p>
        </w:tc>
      </w:tr>
      <w:tr w:rsidR="007B7CDF" w:rsidTr="007D7D3A">
        <w:trPr>
          <w:trHeight w:val="1121"/>
        </w:trPr>
        <w:tc>
          <w:tcPr>
            <w:tcW w:w="1277" w:type="dxa"/>
            <w:vAlign w:val="center"/>
          </w:tcPr>
          <w:p w:rsidR="007B7CDF" w:rsidRPr="007031FA" w:rsidRDefault="007B7CDF" w:rsidP="005A49A9">
            <w:pPr>
              <w:jc w:val="center"/>
              <w:rPr>
                <w:rFonts w:ascii="Arial" w:hAnsi="Arial" w:cs="Arial"/>
                <w:sz w:val="24"/>
                <w:szCs w:val="24"/>
              </w:rPr>
            </w:pPr>
            <w:r>
              <w:rPr>
                <w:noProof/>
                <w:lang w:eastAsia="en-GB"/>
              </w:rPr>
              <w:drawing>
                <wp:inline distT="0" distB="0" distL="0" distR="0" wp14:anchorId="66BC0F3B" wp14:editId="57A1410B">
                  <wp:extent cx="648000" cy="648000"/>
                  <wp:effectExtent l="0" t="0" r="0" b="0"/>
                  <wp:docPr id="255" name="Picture 255" descr="presentati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esentation-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8" w:type="dxa"/>
            <w:gridSpan w:val="2"/>
            <w:vAlign w:val="center"/>
          </w:tcPr>
          <w:p w:rsidR="007B7CDF" w:rsidRPr="007031FA" w:rsidRDefault="007B7CDF" w:rsidP="005A49A9">
            <w:pPr>
              <w:rPr>
                <w:rFonts w:ascii="Arial" w:hAnsi="Arial" w:cs="Arial"/>
                <w:sz w:val="24"/>
                <w:szCs w:val="24"/>
              </w:rPr>
            </w:pPr>
            <w:r>
              <w:rPr>
                <w:rFonts w:ascii="Arial" w:hAnsi="Arial" w:cs="Arial"/>
                <w:sz w:val="24"/>
                <w:szCs w:val="24"/>
              </w:rPr>
              <w:t>80.5</w:t>
            </w:r>
            <w:r w:rsidRPr="00B52D21">
              <w:rPr>
                <w:rFonts w:ascii="Arial" w:hAnsi="Arial" w:cs="Arial"/>
                <w:sz w:val="24"/>
                <w:szCs w:val="24"/>
              </w:rPr>
              <w:t>% of students are following a full time programme and 1</w:t>
            </w:r>
            <w:r>
              <w:rPr>
                <w:rFonts w:ascii="Arial" w:hAnsi="Arial" w:cs="Arial"/>
                <w:sz w:val="24"/>
                <w:szCs w:val="24"/>
              </w:rPr>
              <w:t>0.7</w:t>
            </w:r>
            <w:r w:rsidRPr="00B52D21">
              <w:rPr>
                <w:rFonts w:ascii="Arial" w:hAnsi="Arial" w:cs="Arial"/>
                <w:sz w:val="24"/>
                <w:szCs w:val="24"/>
              </w:rPr>
              <w:t>% are following a programme of 450+hrs, which is for those aged 18 and over and who do not have high needs</w:t>
            </w:r>
            <w:r>
              <w:rPr>
                <w:rFonts w:ascii="Arial" w:hAnsi="Arial" w:cs="Arial"/>
                <w:sz w:val="24"/>
                <w:szCs w:val="24"/>
              </w:rPr>
              <w:t xml:space="preserve">.  </w:t>
            </w:r>
            <w:r w:rsidRPr="001A1BBF">
              <w:rPr>
                <w:rFonts w:ascii="Arial" w:hAnsi="Arial" w:cs="Arial"/>
                <w:sz w:val="24"/>
                <w:szCs w:val="24"/>
              </w:rPr>
              <w:t xml:space="preserve">The remaining students are </w:t>
            </w:r>
            <w:r>
              <w:rPr>
                <w:rFonts w:ascii="Arial" w:hAnsi="Arial" w:cs="Arial"/>
                <w:sz w:val="24"/>
                <w:szCs w:val="24"/>
              </w:rPr>
              <w:t>following a part time programme</w:t>
            </w:r>
          </w:p>
        </w:tc>
      </w:tr>
      <w:tr w:rsidR="007D7D3A" w:rsidRPr="007D7D3A" w:rsidTr="007D7D3A">
        <w:trPr>
          <w:trHeight w:val="70"/>
        </w:trPr>
        <w:tc>
          <w:tcPr>
            <w:tcW w:w="1277" w:type="dxa"/>
            <w:vAlign w:val="center"/>
          </w:tcPr>
          <w:p w:rsidR="007D7D3A" w:rsidRPr="007D7D3A" w:rsidRDefault="007D7D3A" w:rsidP="005A49A9">
            <w:pPr>
              <w:jc w:val="center"/>
              <w:rPr>
                <w:rFonts w:ascii="Arial" w:hAnsi="Arial" w:cs="Arial"/>
                <w:noProof/>
                <w:sz w:val="8"/>
                <w:szCs w:val="8"/>
                <w:lang w:eastAsia="en-GB"/>
              </w:rPr>
            </w:pPr>
          </w:p>
        </w:tc>
        <w:tc>
          <w:tcPr>
            <w:tcW w:w="8368" w:type="dxa"/>
            <w:gridSpan w:val="2"/>
            <w:vAlign w:val="center"/>
          </w:tcPr>
          <w:p w:rsidR="007D7D3A" w:rsidRPr="007D7D3A" w:rsidRDefault="007D7D3A" w:rsidP="005A49A9">
            <w:pPr>
              <w:rPr>
                <w:rFonts w:ascii="Arial" w:hAnsi="Arial" w:cs="Arial"/>
                <w:sz w:val="8"/>
                <w:szCs w:val="8"/>
              </w:rPr>
            </w:pPr>
          </w:p>
        </w:tc>
      </w:tr>
      <w:tr w:rsidR="007B7CDF" w:rsidTr="007D7D3A">
        <w:trPr>
          <w:trHeight w:val="1123"/>
        </w:trPr>
        <w:tc>
          <w:tcPr>
            <w:tcW w:w="1277"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60493170" wp14:editId="72FA8BD9">
                  <wp:extent cx="648000" cy="648000"/>
                  <wp:effectExtent l="0" t="0" r="0" b="0"/>
                  <wp:docPr id="197" name="Picture 197" descr="microsco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croscope-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8" w:type="dxa"/>
            <w:gridSpan w:val="2"/>
            <w:vAlign w:val="center"/>
          </w:tcPr>
          <w:p w:rsidR="007B7CDF" w:rsidRPr="007031FA" w:rsidRDefault="007B7CDF" w:rsidP="005A49A9">
            <w:pPr>
              <w:rPr>
                <w:rFonts w:ascii="Arial" w:hAnsi="Arial" w:cs="Arial"/>
                <w:sz w:val="24"/>
                <w:szCs w:val="24"/>
              </w:rPr>
            </w:pPr>
            <w:r w:rsidRPr="001F05E5">
              <w:rPr>
                <w:rFonts w:ascii="Arial" w:hAnsi="Arial" w:cs="Arial"/>
                <w:sz w:val="24"/>
                <w:szCs w:val="24"/>
              </w:rPr>
              <w:t>Provision is being accessed in all 15 sectors.  The main sectors being accessed by Lancashire residents are Preparation for Life and Work at 2</w:t>
            </w:r>
            <w:r>
              <w:rPr>
                <w:rFonts w:ascii="Arial" w:hAnsi="Arial" w:cs="Arial"/>
                <w:sz w:val="24"/>
                <w:szCs w:val="24"/>
              </w:rPr>
              <w:t>8.8</w:t>
            </w:r>
            <w:r w:rsidRPr="001F05E5">
              <w:rPr>
                <w:rFonts w:ascii="Arial" w:hAnsi="Arial" w:cs="Arial"/>
                <w:sz w:val="24"/>
                <w:szCs w:val="24"/>
              </w:rPr>
              <w:t xml:space="preserve">%; Science and Maths at </w:t>
            </w:r>
            <w:r>
              <w:rPr>
                <w:rFonts w:ascii="Arial" w:hAnsi="Arial" w:cs="Arial"/>
                <w:sz w:val="24"/>
                <w:szCs w:val="24"/>
              </w:rPr>
              <w:t>19.7</w:t>
            </w:r>
            <w:r w:rsidRPr="001F05E5">
              <w:rPr>
                <w:rFonts w:ascii="Arial" w:hAnsi="Arial" w:cs="Arial"/>
                <w:sz w:val="24"/>
                <w:szCs w:val="24"/>
              </w:rPr>
              <w:t xml:space="preserve">%; and Languages, Literature and Culture at </w:t>
            </w:r>
            <w:r>
              <w:rPr>
                <w:rFonts w:ascii="Arial" w:hAnsi="Arial" w:cs="Arial"/>
                <w:sz w:val="24"/>
                <w:szCs w:val="24"/>
              </w:rPr>
              <w:t>9</w:t>
            </w:r>
            <w:r w:rsidRPr="001F05E5">
              <w:rPr>
                <w:rFonts w:ascii="Arial" w:hAnsi="Arial" w:cs="Arial"/>
                <w:sz w:val="24"/>
                <w:szCs w:val="24"/>
              </w:rPr>
              <w:t>.7%</w:t>
            </w:r>
          </w:p>
        </w:tc>
      </w:tr>
      <w:tr w:rsidR="007B7CDF" w:rsidTr="007D7D3A">
        <w:trPr>
          <w:trHeight w:val="3239"/>
        </w:trPr>
        <w:tc>
          <w:tcPr>
            <w:tcW w:w="6726" w:type="dxa"/>
            <w:gridSpan w:val="2"/>
            <w:vAlign w:val="center"/>
          </w:tcPr>
          <w:p w:rsidR="007B7CDF" w:rsidRPr="00F71B3D" w:rsidRDefault="007B7CDF" w:rsidP="005A49A9">
            <w:pPr>
              <w:rPr>
                <w:rFonts w:ascii="Arial" w:hAnsi="Arial" w:cs="Arial"/>
                <w:b/>
                <w:color w:val="00ACE9"/>
                <w:sz w:val="24"/>
                <w:szCs w:val="24"/>
              </w:rPr>
            </w:pPr>
            <w:r w:rsidRPr="00F71B3D">
              <w:rPr>
                <w:noProof/>
                <w:color w:val="00ACE9"/>
                <w:lang w:eastAsia="en-GB"/>
              </w:rPr>
              <w:drawing>
                <wp:inline distT="0" distB="0" distL="0" distR="0" wp14:anchorId="10D3EED5" wp14:editId="2D7E238B">
                  <wp:extent cx="3700130" cy="1998921"/>
                  <wp:effectExtent l="0" t="0" r="0"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919" w:type="dxa"/>
          </w:tcPr>
          <w:p w:rsidR="007B7CDF" w:rsidRPr="00820FFB" w:rsidRDefault="007B7CDF" w:rsidP="005A49A9">
            <w:pPr>
              <w:rPr>
                <w:rFonts w:ascii="Arial" w:hAnsi="Arial" w:cs="Arial"/>
                <w:sz w:val="24"/>
                <w:szCs w:val="24"/>
              </w:rPr>
            </w:pPr>
          </w:p>
          <w:p w:rsidR="007B7CDF" w:rsidRPr="00820FFB" w:rsidRDefault="007B7CDF" w:rsidP="005A49A9">
            <w:pPr>
              <w:rPr>
                <w:rFonts w:ascii="Arial" w:hAnsi="Arial" w:cs="Arial"/>
                <w:sz w:val="24"/>
                <w:szCs w:val="24"/>
              </w:rPr>
            </w:pPr>
          </w:p>
          <w:p w:rsidR="007B7CDF" w:rsidRPr="00820FFB" w:rsidRDefault="007B7CDF" w:rsidP="005A49A9">
            <w:pPr>
              <w:rPr>
                <w:rFonts w:ascii="Arial" w:hAnsi="Arial" w:cs="Arial"/>
                <w:sz w:val="24"/>
                <w:szCs w:val="24"/>
              </w:rPr>
            </w:pPr>
          </w:p>
          <w:p w:rsidR="007B7CDF" w:rsidRPr="00820FFB" w:rsidRDefault="007B7CDF" w:rsidP="005A49A9">
            <w:pPr>
              <w:rPr>
                <w:rFonts w:ascii="Arial" w:hAnsi="Arial" w:cs="Arial"/>
                <w:sz w:val="24"/>
                <w:szCs w:val="24"/>
              </w:rPr>
            </w:pPr>
            <w:r w:rsidRPr="00CB06E5">
              <w:rPr>
                <w:rFonts w:ascii="Arial" w:hAnsi="Arial" w:cs="Arial"/>
                <w:sz w:val="24"/>
                <w:szCs w:val="24"/>
              </w:rPr>
              <w:t>Compared to 2016/17, there are 109 fewer students at Entry level, 109 more at level 2 and 236 fewer at level 3</w:t>
            </w:r>
          </w:p>
          <w:p w:rsidR="007B7CDF" w:rsidRPr="00820FFB" w:rsidRDefault="007B7CDF" w:rsidP="005A49A9">
            <w:pPr>
              <w:rPr>
                <w:rFonts w:ascii="Arial" w:hAnsi="Arial" w:cs="Arial"/>
                <w:sz w:val="24"/>
                <w:szCs w:val="24"/>
              </w:rPr>
            </w:pPr>
          </w:p>
          <w:p w:rsidR="007B7CDF" w:rsidRPr="00820FFB" w:rsidRDefault="007B7CDF" w:rsidP="005A49A9">
            <w:pPr>
              <w:rPr>
                <w:rFonts w:ascii="Arial" w:hAnsi="Arial" w:cs="Arial"/>
                <w:sz w:val="24"/>
                <w:szCs w:val="24"/>
              </w:rPr>
            </w:pPr>
          </w:p>
          <w:p w:rsidR="007B7CDF" w:rsidRDefault="007B7CDF" w:rsidP="005A49A9">
            <w:pPr>
              <w:rPr>
                <w:rFonts w:ascii="Arial" w:hAnsi="Arial" w:cs="Arial"/>
                <w:b/>
                <w:sz w:val="24"/>
                <w:szCs w:val="24"/>
              </w:rPr>
            </w:pPr>
          </w:p>
        </w:tc>
      </w:tr>
      <w:tr w:rsidR="007B7CDF" w:rsidTr="007D7D3A">
        <w:trPr>
          <w:trHeight w:val="3676"/>
        </w:trPr>
        <w:tc>
          <w:tcPr>
            <w:tcW w:w="6726" w:type="dxa"/>
            <w:gridSpan w:val="2"/>
            <w:vAlign w:val="center"/>
          </w:tcPr>
          <w:p w:rsidR="007B7CDF" w:rsidRDefault="007B7CDF" w:rsidP="005A49A9">
            <w:pPr>
              <w:rPr>
                <w:noProof/>
                <w:lang w:eastAsia="en-GB"/>
              </w:rPr>
            </w:pPr>
            <w:r>
              <w:rPr>
                <w:noProof/>
                <w:lang w:eastAsia="en-GB"/>
              </w:rPr>
              <w:lastRenderedPageBreak/>
              <w:drawing>
                <wp:inline distT="0" distB="0" distL="0" distR="0" wp14:anchorId="5B264DE2" wp14:editId="6786AE64">
                  <wp:extent cx="3976370" cy="2133600"/>
                  <wp:effectExtent l="0" t="0" r="5080" b="0"/>
                  <wp:docPr id="227" name="Chart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919" w:type="dxa"/>
            <w:vAlign w:val="center"/>
          </w:tcPr>
          <w:p w:rsidR="007B7CDF" w:rsidRDefault="007B7CDF" w:rsidP="005A49A9">
            <w:pPr>
              <w:rPr>
                <w:rFonts w:ascii="Arial" w:hAnsi="Arial" w:cs="Arial"/>
                <w:b/>
                <w:sz w:val="24"/>
                <w:szCs w:val="24"/>
              </w:rPr>
            </w:pPr>
            <w:r w:rsidRPr="00CB06E5">
              <w:rPr>
                <w:rFonts w:ascii="Arial" w:hAnsi="Arial" w:cs="Arial"/>
                <w:sz w:val="24"/>
                <w:szCs w:val="24"/>
              </w:rPr>
              <w:t>Compared to 2016/17, there are 220 more Asian students participating and 564 fewer White students</w:t>
            </w:r>
          </w:p>
        </w:tc>
      </w:tr>
    </w:tbl>
    <w:p w:rsidR="007B7CDF" w:rsidRPr="00FE497C" w:rsidRDefault="007B7CDF" w:rsidP="007B7CDF">
      <w:pPr>
        <w:spacing w:after="0"/>
        <w:rPr>
          <w:rFonts w:ascii="Arial" w:hAnsi="Arial" w:cs="Arial"/>
          <w:sz w:val="24"/>
          <w:szCs w:val="24"/>
        </w:rPr>
      </w:pPr>
      <w:r>
        <w:rPr>
          <w:rFonts w:ascii="Arial" w:hAnsi="Arial" w:cs="Arial"/>
          <w:sz w:val="24"/>
          <w:szCs w:val="24"/>
        </w:rPr>
        <w:t>In addition:</w:t>
      </w:r>
      <w:r>
        <w:rPr>
          <w:rFonts w:ascii="Arial" w:hAnsi="Arial" w:cs="Arial"/>
          <w:sz w:val="24"/>
          <w:szCs w:val="24"/>
        </w:rPr>
        <w:br/>
      </w:r>
    </w:p>
    <w:p w:rsidR="007B7CDF" w:rsidRPr="00FE497C" w:rsidRDefault="00FE497C" w:rsidP="007B7CDF">
      <w:pPr>
        <w:pStyle w:val="ListParagraph"/>
        <w:numPr>
          <w:ilvl w:val="0"/>
          <w:numId w:val="17"/>
        </w:numPr>
        <w:spacing w:after="0" w:line="240" w:lineRule="auto"/>
        <w:rPr>
          <w:rFonts w:ascii="Arial" w:hAnsi="Arial" w:cs="Arial"/>
          <w:sz w:val="24"/>
          <w:szCs w:val="24"/>
        </w:rPr>
      </w:pPr>
      <w:r w:rsidRPr="00FE497C">
        <w:rPr>
          <w:rFonts w:ascii="Arial" w:hAnsi="Arial" w:cs="Arial"/>
          <w:sz w:val="24"/>
          <w:szCs w:val="24"/>
        </w:rPr>
        <w:t>98.6</w:t>
      </w:r>
      <w:r w:rsidR="007B7CDF" w:rsidRPr="00FE497C">
        <w:rPr>
          <w:rFonts w:ascii="Arial" w:hAnsi="Arial" w:cs="Arial"/>
          <w:sz w:val="24"/>
          <w:szCs w:val="24"/>
        </w:rPr>
        <w:t xml:space="preserve">% of students </w:t>
      </w:r>
      <w:r w:rsidRPr="00FE497C">
        <w:rPr>
          <w:rFonts w:ascii="Arial" w:hAnsi="Arial" w:cs="Arial"/>
          <w:sz w:val="24"/>
          <w:szCs w:val="24"/>
        </w:rPr>
        <w:t xml:space="preserve">met </w:t>
      </w:r>
      <w:r w:rsidR="007B7CDF" w:rsidRPr="00FE497C">
        <w:rPr>
          <w:rFonts w:ascii="Arial" w:hAnsi="Arial" w:cs="Arial"/>
          <w:sz w:val="24"/>
          <w:szCs w:val="24"/>
        </w:rPr>
        <w:t>the condition of funding for English and maths</w:t>
      </w:r>
    </w:p>
    <w:p w:rsidR="007B7CDF" w:rsidRPr="001A1BBF" w:rsidRDefault="007B7CDF" w:rsidP="007B7CDF">
      <w:pPr>
        <w:pStyle w:val="ListParagraph"/>
        <w:numPr>
          <w:ilvl w:val="0"/>
          <w:numId w:val="17"/>
        </w:numPr>
        <w:spacing w:after="0" w:line="240" w:lineRule="auto"/>
        <w:rPr>
          <w:rFonts w:ascii="Arial" w:hAnsi="Arial" w:cs="Arial"/>
          <w:sz w:val="24"/>
          <w:szCs w:val="24"/>
        </w:rPr>
      </w:pPr>
      <w:r w:rsidRPr="001A1BBF">
        <w:rPr>
          <w:rFonts w:ascii="Arial" w:hAnsi="Arial" w:cs="Arial"/>
          <w:sz w:val="24"/>
          <w:szCs w:val="24"/>
        </w:rPr>
        <w:t>2.</w:t>
      </w:r>
      <w:r>
        <w:rPr>
          <w:rFonts w:ascii="Arial" w:hAnsi="Arial" w:cs="Arial"/>
          <w:sz w:val="24"/>
          <w:szCs w:val="24"/>
        </w:rPr>
        <w:t>3</w:t>
      </w:r>
      <w:r w:rsidRPr="001A1BBF">
        <w:rPr>
          <w:rFonts w:ascii="Arial" w:hAnsi="Arial" w:cs="Arial"/>
          <w:sz w:val="24"/>
          <w:szCs w:val="24"/>
        </w:rPr>
        <w:t xml:space="preserve">% of students have an Education, Health and Care Plan and there has been an increase of </w:t>
      </w:r>
      <w:r>
        <w:rPr>
          <w:rFonts w:ascii="Arial" w:hAnsi="Arial" w:cs="Arial"/>
          <w:sz w:val="24"/>
          <w:szCs w:val="24"/>
        </w:rPr>
        <w:t>17 students compared to 2016/17</w:t>
      </w:r>
    </w:p>
    <w:p w:rsidR="007B7CDF" w:rsidRPr="001A1BBF" w:rsidRDefault="007B7CDF" w:rsidP="007B7CDF">
      <w:pPr>
        <w:pStyle w:val="ListParagraph"/>
        <w:numPr>
          <w:ilvl w:val="0"/>
          <w:numId w:val="17"/>
        </w:numPr>
        <w:spacing w:after="0" w:line="240" w:lineRule="auto"/>
        <w:rPr>
          <w:rFonts w:ascii="Arial" w:hAnsi="Arial" w:cs="Arial"/>
          <w:sz w:val="24"/>
          <w:szCs w:val="24"/>
        </w:rPr>
      </w:pPr>
      <w:r w:rsidRPr="001A1BBF">
        <w:rPr>
          <w:rFonts w:ascii="Arial" w:hAnsi="Arial" w:cs="Arial"/>
          <w:sz w:val="24"/>
          <w:szCs w:val="24"/>
        </w:rPr>
        <w:t>2.0% of students a</w:t>
      </w:r>
      <w:r>
        <w:rPr>
          <w:rFonts w:ascii="Arial" w:hAnsi="Arial" w:cs="Arial"/>
          <w:sz w:val="24"/>
          <w:szCs w:val="24"/>
        </w:rPr>
        <w:t>re classed as having high needs</w:t>
      </w:r>
    </w:p>
    <w:p w:rsidR="007B7CDF" w:rsidRDefault="007B7CDF" w:rsidP="007B7CDF">
      <w:pPr>
        <w:spacing w:after="0" w:line="240" w:lineRule="auto"/>
        <w:rPr>
          <w:rFonts w:ascii="Arial" w:hAnsi="Arial" w:cs="Arial"/>
          <w:sz w:val="24"/>
          <w:szCs w:val="24"/>
        </w:rPr>
      </w:pPr>
    </w:p>
    <w:tbl>
      <w:tblPr>
        <w:tblStyle w:val="TableGrid"/>
        <w:tblW w:w="0" w:type="auto"/>
        <w:shd w:val="clear" w:color="auto" w:fill="00ACE9"/>
        <w:tblLook w:val="04A0" w:firstRow="1" w:lastRow="0" w:firstColumn="1" w:lastColumn="0" w:noHBand="0" w:noVBand="1"/>
      </w:tblPr>
      <w:tblGrid>
        <w:gridCol w:w="9016"/>
      </w:tblGrid>
      <w:tr w:rsidR="007B7CDF" w:rsidRPr="00546F92" w:rsidTr="005A49A9">
        <w:tc>
          <w:tcPr>
            <w:tcW w:w="9016" w:type="dxa"/>
            <w:tcBorders>
              <w:top w:val="nil"/>
              <w:left w:val="nil"/>
              <w:bottom w:val="nil"/>
              <w:right w:val="nil"/>
            </w:tcBorders>
            <w:shd w:val="clear" w:color="auto" w:fill="00ACE9"/>
          </w:tcPr>
          <w:p w:rsidR="007B7CDF" w:rsidRPr="00546F92" w:rsidRDefault="007B7CDF" w:rsidP="005A49A9">
            <w:pPr>
              <w:jc w:val="center"/>
              <w:rPr>
                <w:rFonts w:ascii="Arial" w:hAnsi="Arial" w:cs="Arial"/>
                <w:sz w:val="24"/>
                <w:szCs w:val="24"/>
              </w:rPr>
            </w:pPr>
            <w:r w:rsidRPr="008E2ACA">
              <w:rPr>
                <w:rFonts w:ascii="Arial" w:hAnsi="Arial" w:cs="Arial"/>
                <w:b/>
                <w:color w:val="FFFFFF" w:themeColor="background1"/>
                <w:sz w:val="24"/>
                <w:szCs w:val="24"/>
              </w:rPr>
              <w:t>19-24 Year Olds with an Edu</w:t>
            </w:r>
            <w:bookmarkStart w:id="2" w:name="EHCP_Participation_Summary"/>
            <w:bookmarkEnd w:id="2"/>
            <w:r w:rsidRPr="008E2ACA">
              <w:rPr>
                <w:rFonts w:ascii="Arial" w:hAnsi="Arial" w:cs="Arial"/>
                <w:b/>
                <w:color w:val="FFFFFF" w:themeColor="background1"/>
                <w:sz w:val="24"/>
                <w:szCs w:val="24"/>
              </w:rPr>
              <w:t>cation, Health and Care Plan Participation Summary</w:t>
            </w:r>
          </w:p>
        </w:tc>
      </w:tr>
    </w:tbl>
    <w:p w:rsidR="007B7CDF" w:rsidRDefault="007B7CDF" w:rsidP="007B7CDF">
      <w:pPr>
        <w:spacing w:after="0" w:line="240" w:lineRule="auto"/>
        <w:rPr>
          <w:rFonts w:ascii="Arial" w:hAnsi="Arial" w:cs="Arial"/>
          <w:sz w:val="24"/>
          <w:szCs w:val="24"/>
        </w:rPr>
      </w:pPr>
    </w:p>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5444"/>
        <w:gridCol w:w="2914"/>
      </w:tblGrid>
      <w:tr w:rsidR="007B7CDF" w:rsidTr="007D7D3A">
        <w:trPr>
          <w:trHeight w:val="1164"/>
        </w:trPr>
        <w:tc>
          <w:tcPr>
            <w:tcW w:w="1282"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34DD239F" wp14:editId="22AC56D1">
                  <wp:extent cx="648000" cy="648000"/>
                  <wp:effectExtent l="0" t="0" r="0" b="0"/>
                  <wp:docPr id="205" name="Picture 205" descr="location-m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cation-map-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7031FA" w:rsidRDefault="007B7CDF" w:rsidP="005A49A9">
            <w:pPr>
              <w:rPr>
                <w:rFonts w:ascii="Arial" w:hAnsi="Arial" w:cs="Arial"/>
                <w:sz w:val="24"/>
                <w:szCs w:val="24"/>
              </w:rPr>
            </w:pPr>
            <w:r w:rsidRPr="007031FA">
              <w:rPr>
                <w:rFonts w:ascii="Arial" w:hAnsi="Arial" w:cs="Arial"/>
                <w:sz w:val="24"/>
                <w:szCs w:val="24"/>
              </w:rPr>
              <w:t xml:space="preserve">Provision </w:t>
            </w:r>
            <w:r>
              <w:rPr>
                <w:rFonts w:ascii="Arial" w:hAnsi="Arial" w:cs="Arial"/>
                <w:sz w:val="24"/>
                <w:szCs w:val="24"/>
              </w:rPr>
              <w:t xml:space="preserve">is being </w:t>
            </w:r>
            <w:r w:rsidRPr="007031FA">
              <w:rPr>
                <w:rFonts w:ascii="Arial" w:hAnsi="Arial" w:cs="Arial"/>
                <w:sz w:val="24"/>
                <w:szCs w:val="24"/>
              </w:rPr>
              <w:t xml:space="preserve">accessed in </w:t>
            </w:r>
            <w:r>
              <w:rPr>
                <w:rFonts w:ascii="Arial" w:hAnsi="Arial" w:cs="Arial"/>
                <w:sz w:val="24"/>
                <w:szCs w:val="24"/>
              </w:rPr>
              <w:t>16</w:t>
            </w:r>
            <w:r w:rsidRPr="007031FA">
              <w:rPr>
                <w:rFonts w:ascii="Arial" w:hAnsi="Arial" w:cs="Arial"/>
                <w:sz w:val="24"/>
                <w:szCs w:val="24"/>
              </w:rPr>
              <w:t xml:space="preserve"> local authority area</w:t>
            </w:r>
            <w:r w:rsidR="00B33C63">
              <w:rPr>
                <w:rFonts w:ascii="Arial" w:hAnsi="Arial" w:cs="Arial"/>
                <w:sz w:val="24"/>
                <w:szCs w:val="24"/>
              </w:rPr>
              <w:t>s</w:t>
            </w:r>
            <w:r w:rsidRPr="007031FA">
              <w:rPr>
                <w:rFonts w:ascii="Arial" w:hAnsi="Arial" w:cs="Arial"/>
                <w:sz w:val="24"/>
                <w:szCs w:val="24"/>
              </w:rPr>
              <w:t>, with 7</w:t>
            </w:r>
            <w:r>
              <w:rPr>
                <w:rFonts w:ascii="Arial" w:hAnsi="Arial" w:cs="Arial"/>
                <w:sz w:val="24"/>
                <w:szCs w:val="24"/>
              </w:rPr>
              <w:t>7.2</w:t>
            </w:r>
            <w:r w:rsidRPr="007031FA">
              <w:rPr>
                <w:rFonts w:ascii="Arial" w:hAnsi="Arial" w:cs="Arial"/>
                <w:sz w:val="24"/>
                <w:szCs w:val="24"/>
              </w:rPr>
              <w:t>% (</w:t>
            </w:r>
            <w:r>
              <w:rPr>
                <w:rFonts w:ascii="Arial" w:hAnsi="Arial" w:cs="Arial"/>
                <w:sz w:val="24"/>
                <w:szCs w:val="24"/>
              </w:rPr>
              <w:t>277</w:t>
            </w:r>
            <w:r w:rsidRPr="007031FA">
              <w:rPr>
                <w:rFonts w:ascii="Arial" w:hAnsi="Arial" w:cs="Arial"/>
                <w:sz w:val="24"/>
                <w:szCs w:val="24"/>
              </w:rPr>
              <w:t xml:space="preserve"> Lancashire residents</w:t>
            </w:r>
            <w:r>
              <w:rPr>
                <w:rFonts w:ascii="Arial" w:hAnsi="Arial" w:cs="Arial"/>
                <w:sz w:val="24"/>
                <w:szCs w:val="24"/>
              </w:rPr>
              <w:t xml:space="preserve"> aged 19-24 with an EHCP</w:t>
            </w:r>
            <w:r w:rsidRPr="007031FA">
              <w:rPr>
                <w:rFonts w:ascii="Arial" w:hAnsi="Arial" w:cs="Arial"/>
                <w:sz w:val="24"/>
                <w:szCs w:val="24"/>
              </w:rPr>
              <w:t xml:space="preserve">) accessing </w:t>
            </w:r>
            <w:r>
              <w:rPr>
                <w:rFonts w:ascii="Arial" w:hAnsi="Arial" w:cs="Arial"/>
                <w:sz w:val="24"/>
                <w:szCs w:val="24"/>
              </w:rPr>
              <w:t>p</w:t>
            </w:r>
            <w:r w:rsidRPr="007031FA">
              <w:rPr>
                <w:rFonts w:ascii="Arial" w:hAnsi="Arial" w:cs="Arial"/>
                <w:sz w:val="24"/>
                <w:szCs w:val="24"/>
              </w:rPr>
              <w:t xml:space="preserve">rovision at Lancashire based providers.  Outside of Lancashire, the main areas are Blackburn with </w:t>
            </w:r>
            <w:proofErr w:type="spellStart"/>
            <w:r w:rsidRPr="007031FA">
              <w:rPr>
                <w:rFonts w:ascii="Arial" w:hAnsi="Arial" w:cs="Arial"/>
                <w:sz w:val="24"/>
                <w:szCs w:val="24"/>
              </w:rPr>
              <w:t>Darwen</w:t>
            </w:r>
            <w:proofErr w:type="spellEnd"/>
            <w:r>
              <w:rPr>
                <w:rFonts w:ascii="Arial" w:hAnsi="Arial" w:cs="Arial"/>
                <w:sz w:val="24"/>
                <w:szCs w:val="24"/>
              </w:rPr>
              <w:t xml:space="preserve"> at 5.6% and Blackpool at 4.2% </w:t>
            </w:r>
          </w:p>
        </w:tc>
      </w:tr>
      <w:tr w:rsidR="007D7D3A" w:rsidRPr="007D7D3A" w:rsidTr="007D7D3A">
        <w:trPr>
          <w:trHeight w:val="70"/>
        </w:trPr>
        <w:tc>
          <w:tcPr>
            <w:tcW w:w="1282" w:type="dxa"/>
            <w:vAlign w:val="center"/>
          </w:tcPr>
          <w:p w:rsidR="007D7D3A" w:rsidRPr="007D7D3A" w:rsidRDefault="007D7D3A" w:rsidP="005A49A9">
            <w:pPr>
              <w:rPr>
                <w:rFonts w:ascii="Arial" w:hAnsi="Arial" w:cs="Arial"/>
                <w:noProof/>
                <w:sz w:val="8"/>
                <w:szCs w:val="8"/>
                <w:lang w:eastAsia="en-GB"/>
              </w:rPr>
            </w:pPr>
          </w:p>
        </w:tc>
        <w:tc>
          <w:tcPr>
            <w:tcW w:w="8358" w:type="dxa"/>
            <w:gridSpan w:val="2"/>
            <w:vAlign w:val="center"/>
          </w:tcPr>
          <w:p w:rsidR="007D7D3A" w:rsidRPr="007D7D3A" w:rsidRDefault="007D7D3A" w:rsidP="005A49A9">
            <w:pPr>
              <w:rPr>
                <w:rFonts w:ascii="Arial" w:hAnsi="Arial" w:cs="Arial"/>
                <w:sz w:val="8"/>
                <w:szCs w:val="8"/>
              </w:rPr>
            </w:pPr>
          </w:p>
        </w:tc>
      </w:tr>
      <w:tr w:rsidR="007B7CDF" w:rsidTr="007D7D3A">
        <w:trPr>
          <w:trHeight w:val="1124"/>
        </w:trPr>
        <w:tc>
          <w:tcPr>
            <w:tcW w:w="1282"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488B516A" wp14:editId="23BF1FE8">
                  <wp:extent cx="648000" cy="648000"/>
                  <wp:effectExtent l="0" t="0" r="0" b="0"/>
                  <wp:docPr id="224" name="Picture 224" descr="sort-up-or-sort-down-couple-of-arrow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ort-up-or-sort-down-couple-of-arrows-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7031FA" w:rsidRDefault="007B7CDF" w:rsidP="005A49A9">
            <w:pPr>
              <w:rPr>
                <w:rFonts w:ascii="Arial" w:hAnsi="Arial" w:cs="Arial"/>
                <w:sz w:val="24"/>
                <w:szCs w:val="24"/>
              </w:rPr>
            </w:pPr>
            <w:r>
              <w:rPr>
                <w:rFonts w:ascii="Arial" w:hAnsi="Arial" w:cs="Arial"/>
                <w:sz w:val="24"/>
                <w:szCs w:val="24"/>
              </w:rPr>
              <w:t>From 2016</w:t>
            </w:r>
            <w:r w:rsidR="00B33C63">
              <w:rPr>
                <w:rFonts w:ascii="Arial" w:hAnsi="Arial" w:cs="Arial"/>
                <w:sz w:val="24"/>
                <w:szCs w:val="24"/>
              </w:rPr>
              <w:t>/17 to 2017/18, the main change</w:t>
            </w:r>
            <w:r>
              <w:rPr>
                <w:rFonts w:ascii="Arial" w:hAnsi="Arial" w:cs="Arial"/>
                <w:sz w:val="24"/>
                <w:szCs w:val="24"/>
              </w:rPr>
              <w:t xml:space="preserve"> to where students are accessing provision is 23 more in Lancashire</w:t>
            </w:r>
          </w:p>
        </w:tc>
      </w:tr>
      <w:tr w:rsidR="007D7D3A" w:rsidRPr="007D7D3A" w:rsidTr="007D7D3A">
        <w:trPr>
          <w:trHeight w:val="70"/>
        </w:trPr>
        <w:tc>
          <w:tcPr>
            <w:tcW w:w="1282" w:type="dxa"/>
            <w:vAlign w:val="center"/>
          </w:tcPr>
          <w:p w:rsidR="007D7D3A" w:rsidRPr="007D7D3A" w:rsidRDefault="007D7D3A" w:rsidP="005A49A9">
            <w:pPr>
              <w:rPr>
                <w:rFonts w:ascii="Arial" w:hAnsi="Arial" w:cs="Arial"/>
                <w:noProof/>
                <w:sz w:val="8"/>
                <w:szCs w:val="8"/>
                <w:lang w:eastAsia="en-GB"/>
              </w:rPr>
            </w:pPr>
          </w:p>
        </w:tc>
        <w:tc>
          <w:tcPr>
            <w:tcW w:w="8358" w:type="dxa"/>
            <w:gridSpan w:val="2"/>
            <w:vAlign w:val="center"/>
          </w:tcPr>
          <w:p w:rsidR="007D7D3A" w:rsidRPr="007D7D3A" w:rsidRDefault="007D7D3A" w:rsidP="005A49A9">
            <w:pPr>
              <w:rPr>
                <w:rFonts w:ascii="Arial" w:hAnsi="Arial" w:cs="Arial"/>
                <w:sz w:val="8"/>
                <w:szCs w:val="8"/>
              </w:rPr>
            </w:pPr>
          </w:p>
        </w:tc>
      </w:tr>
      <w:tr w:rsidR="007B7CDF" w:rsidTr="007D7D3A">
        <w:trPr>
          <w:trHeight w:val="1126"/>
        </w:trPr>
        <w:tc>
          <w:tcPr>
            <w:tcW w:w="1282"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7637DD4C" wp14:editId="58319A87">
                  <wp:extent cx="648000" cy="648000"/>
                  <wp:effectExtent l="0" t="0" r="0" b="0"/>
                  <wp:docPr id="228" name="Picture 228" descr="universit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iversity-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7031FA" w:rsidRDefault="007B7CDF" w:rsidP="005A49A9">
            <w:pPr>
              <w:rPr>
                <w:rFonts w:ascii="Arial" w:hAnsi="Arial" w:cs="Arial"/>
                <w:sz w:val="24"/>
                <w:szCs w:val="24"/>
              </w:rPr>
            </w:pPr>
            <w:r>
              <w:rPr>
                <w:rFonts w:ascii="Arial" w:hAnsi="Arial" w:cs="Arial"/>
                <w:sz w:val="24"/>
                <w:szCs w:val="24"/>
              </w:rPr>
              <w:t>Provision is being accessed at 29 providers.  The main providers are: Myerscough College at 12.8%, Preston's College at 10.6% and Nelson and Colne College at 10.3%</w:t>
            </w:r>
          </w:p>
        </w:tc>
      </w:tr>
      <w:tr w:rsidR="007D7D3A" w:rsidRPr="007D7D3A" w:rsidTr="007D7D3A">
        <w:trPr>
          <w:trHeight w:val="70"/>
        </w:trPr>
        <w:tc>
          <w:tcPr>
            <w:tcW w:w="1282" w:type="dxa"/>
            <w:vAlign w:val="center"/>
          </w:tcPr>
          <w:p w:rsidR="007D7D3A" w:rsidRPr="007D7D3A" w:rsidRDefault="007D7D3A" w:rsidP="005A49A9">
            <w:pPr>
              <w:rPr>
                <w:rFonts w:ascii="Arial" w:hAnsi="Arial" w:cs="Arial"/>
                <w:noProof/>
                <w:sz w:val="8"/>
                <w:szCs w:val="8"/>
                <w:lang w:eastAsia="en-GB"/>
              </w:rPr>
            </w:pPr>
          </w:p>
        </w:tc>
        <w:tc>
          <w:tcPr>
            <w:tcW w:w="8358" w:type="dxa"/>
            <w:gridSpan w:val="2"/>
            <w:vAlign w:val="center"/>
          </w:tcPr>
          <w:p w:rsidR="007D7D3A" w:rsidRPr="007D7D3A" w:rsidRDefault="007D7D3A" w:rsidP="005A49A9">
            <w:pPr>
              <w:rPr>
                <w:rFonts w:ascii="Arial" w:hAnsi="Arial" w:cs="Arial"/>
                <w:sz w:val="8"/>
                <w:szCs w:val="8"/>
              </w:rPr>
            </w:pPr>
          </w:p>
        </w:tc>
      </w:tr>
      <w:tr w:rsidR="007B7CDF" w:rsidTr="007D7D3A">
        <w:trPr>
          <w:trHeight w:val="1255"/>
        </w:trPr>
        <w:tc>
          <w:tcPr>
            <w:tcW w:w="1282"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020218DE" wp14:editId="2580BEBD">
                  <wp:extent cx="648000" cy="648000"/>
                  <wp:effectExtent l="0" t="0" r="0" b="0"/>
                  <wp:docPr id="207" name="Picture 207" descr="sort-up-or-sort-down-couple-of-arrow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ort-up-or-sort-down-couple-of-arrows-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7031FA" w:rsidRDefault="007B7CDF" w:rsidP="005A49A9">
            <w:pPr>
              <w:rPr>
                <w:rFonts w:ascii="Arial" w:hAnsi="Arial" w:cs="Arial"/>
                <w:sz w:val="24"/>
                <w:szCs w:val="24"/>
              </w:rPr>
            </w:pPr>
            <w:r>
              <w:rPr>
                <w:rFonts w:ascii="Arial" w:hAnsi="Arial" w:cs="Arial"/>
                <w:sz w:val="24"/>
                <w:szCs w:val="24"/>
              </w:rPr>
              <w:t>From 2016/17 to 2017/18, the main changes to where students are accessing provision are: 11 fewer at Cardinal Newman College and 10 more at Preston's College</w:t>
            </w:r>
          </w:p>
        </w:tc>
      </w:tr>
      <w:tr w:rsidR="007D7D3A" w:rsidRPr="007D7D3A" w:rsidTr="007D7D3A">
        <w:trPr>
          <w:trHeight w:val="70"/>
        </w:trPr>
        <w:tc>
          <w:tcPr>
            <w:tcW w:w="1282" w:type="dxa"/>
            <w:vAlign w:val="center"/>
          </w:tcPr>
          <w:p w:rsidR="007D7D3A" w:rsidRPr="007D7D3A" w:rsidRDefault="007D7D3A" w:rsidP="005A49A9">
            <w:pPr>
              <w:rPr>
                <w:rFonts w:ascii="Arial" w:hAnsi="Arial" w:cs="Arial"/>
                <w:noProof/>
                <w:sz w:val="8"/>
                <w:szCs w:val="8"/>
                <w:lang w:eastAsia="en-GB"/>
              </w:rPr>
            </w:pPr>
          </w:p>
        </w:tc>
        <w:tc>
          <w:tcPr>
            <w:tcW w:w="8358" w:type="dxa"/>
            <w:gridSpan w:val="2"/>
            <w:vAlign w:val="center"/>
          </w:tcPr>
          <w:p w:rsidR="007D7D3A" w:rsidRPr="007D7D3A" w:rsidRDefault="007D7D3A" w:rsidP="005A49A9">
            <w:pPr>
              <w:rPr>
                <w:rFonts w:ascii="Arial" w:hAnsi="Arial" w:cs="Arial"/>
                <w:sz w:val="8"/>
                <w:szCs w:val="8"/>
              </w:rPr>
            </w:pPr>
          </w:p>
        </w:tc>
      </w:tr>
      <w:tr w:rsidR="007B7CDF" w:rsidTr="007D7D3A">
        <w:trPr>
          <w:trHeight w:val="1097"/>
        </w:trPr>
        <w:tc>
          <w:tcPr>
            <w:tcW w:w="1282" w:type="dxa"/>
            <w:vAlign w:val="center"/>
          </w:tcPr>
          <w:p w:rsidR="007B7CDF" w:rsidRDefault="007B7CDF" w:rsidP="005A49A9">
            <w:pPr>
              <w:rPr>
                <w:noProof/>
                <w:lang w:eastAsia="en-GB"/>
              </w:rPr>
            </w:pPr>
            <w:r>
              <w:rPr>
                <w:noProof/>
                <w:lang w:eastAsia="en-GB"/>
              </w:rPr>
              <w:drawing>
                <wp:inline distT="0" distB="0" distL="0" distR="0" wp14:anchorId="57221414" wp14:editId="516935AE">
                  <wp:extent cx="648000" cy="648000"/>
                  <wp:effectExtent l="0" t="0" r="0" b="0"/>
                  <wp:docPr id="229" name="Picture 229" descr="classmat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assmates-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Default="007B7CDF" w:rsidP="005A49A9">
            <w:pPr>
              <w:rPr>
                <w:rFonts w:ascii="Arial" w:hAnsi="Arial" w:cs="Arial"/>
                <w:sz w:val="24"/>
                <w:szCs w:val="24"/>
              </w:rPr>
            </w:pPr>
            <w:r>
              <w:rPr>
                <w:rFonts w:ascii="Arial" w:hAnsi="Arial" w:cs="Arial"/>
                <w:sz w:val="24"/>
                <w:szCs w:val="24"/>
              </w:rPr>
              <w:t xml:space="preserve">63.8% of students participating are male and 36.2% are female.  Compared to 2016/17, male students have increased by 13 </w:t>
            </w:r>
          </w:p>
        </w:tc>
      </w:tr>
      <w:tr w:rsidR="007D7D3A" w:rsidRPr="007D7D3A" w:rsidTr="007D7D3A">
        <w:trPr>
          <w:trHeight w:val="70"/>
        </w:trPr>
        <w:tc>
          <w:tcPr>
            <w:tcW w:w="1282" w:type="dxa"/>
            <w:vAlign w:val="center"/>
          </w:tcPr>
          <w:p w:rsidR="007D7D3A" w:rsidRPr="007D7D3A" w:rsidRDefault="007D7D3A" w:rsidP="005A49A9">
            <w:pPr>
              <w:rPr>
                <w:rFonts w:ascii="Arial" w:hAnsi="Arial" w:cs="Arial"/>
                <w:noProof/>
                <w:sz w:val="8"/>
                <w:szCs w:val="8"/>
                <w:lang w:eastAsia="en-GB"/>
              </w:rPr>
            </w:pPr>
          </w:p>
        </w:tc>
        <w:tc>
          <w:tcPr>
            <w:tcW w:w="8358" w:type="dxa"/>
            <w:gridSpan w:val="2"/>
            <w:vAlign w:val="center"/>
          </w:tcPr>
          <w:p w:rsidR="007D7D3A" w:rsidRPr="007D7D3A" w:rsidRDefault="007D7D3A" w:rsidP="005A49A9">
            <w:pPr>
              <w:rPr>
                <w:rFonts w:ascii="Arial" w:hAnsi="Arial" w:cs="Arial"/>
                <w:sz w:val="8"/>
                <w:szCs w:val="8"/>
              </w:rPr>
            </w:pPr>
          </w:p>
        </w:tc>
      </w:tr>
      <w:tr w:rsidR="007B7CDF" w:rsidTr="007D7D3A">
        <w:trPr>
          <w:trHeight w:val="1096"/>
        </w:trPr>
        <w:tc>
          <w:tcPr>
            <w:tcW w:w="1282" w:type="dxa"/>
            <w:vAlign w:val="center"/>
          </w:tcPr>
          <w:p w:rsidR="007B7CDF" w:rsidRPr="007031FA" w:rsidRDefault="007B7CDF" w:rsidP="005A49A9">
            <w:pPr>
              <w:jc w:val="center"/>
              <w:rPr>
                <w:rFonts w:ascii="Arial" w:hAnsi="Arial" w:cs="Arial"/>
                <w:sz w:val="24"/>
                <w:szCs w:val="24"/>
              </w:rPr>
            </w:pPr>
            <w:r>
              <w:rPr>
                <w:noProof/>
                <w:lang w:eastAsia="en-GB"/>
              </w:rPr>
              <w:drawing>
                <wp:inline distT="0" distB="0" distL="0" distR="0" wp14:anchorId="4C3D3C10" wp14:editId="64360235">
                  <wp:extent cx="648000" cy="648000"/>
                  <wp:effectExtent l="0" t="0" r="0" b="0"/>
                  <wp:docPr id="230" name="Picture 230" descr="presentati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esentation-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7031FA" w:rsidRDefault="007B7CDF" w:rsidP="005A49A9">
            <w:pPr>
              <w:autoSpaceDN w:val="0"/>
              <w:rPr>
                <w:rFonts w:ascii="Arial" w:hAnsi="Arial" w:cs="Arial"/>
                <w:sz w:val="24"/>
                <w:szCs w:val="24"/>
              </w:rPr>
            </w:pPr>
            <w:r w:rsidRPr="00202E8E">
              <w:rPr>
                <w:rFonts w:ascii="Arial" w:hAnsi="Arial" w:cs="Arial"/>
                <w:sz w:val="24"/>
                <w:szCs w:val="24"/>
              </w:rPr>
              <w:t>7</w:t>
            </w:r>
            <w:r>
              <w:rPr>
                <w:rFonts w:ascii="Arial" w:hAnsi="Arial" w:cs="Arial"/>
                <w:sz w:val="24"/>
                <w:szCs w:val="24"/>
              </w:rPr>
              <w:t>9.9</w:t>
            </w:r>
            <w:r w:rsidRPr="00202E8E">
              <w:rPr>
                <w:rFonts w:ascii="Arial" w:hAnsi="Arial" w:cs="Arial"/>
                <w:sz w:val="24"/>
                <w:szCs w:val="24"/>
              </w:rPr>
              <w:t xml:space="preserve">% of </w:t>
            </w:r>
            <w:r w:rsidRPr="00202E8E">
              <w:rPr>
                <w:rFonts w:ascii="Arial" w:eastAsia="Times New Roman" w:hAnsi="Arial" w:cs="Arial"/>
                <w:sz w:val="24"/>
                <w:szCs w:val="24"/>
              </w:rPr>
              <w:t xml:space="preserve">students </w:t>
            </w:r>
            <w:r w:rsidRPr="00202E8E">
              <w:rPr>
                <w:rFonts w:ascii="Arial" w:hAnsi="Arial" w:cs="Arial"/>
                <w:sz w:val="24"/>
                <w:szCs w:val="24"/>
              </w:rPr>
              <w:t xml:space="preserve">are following full time programmes and </w:t>
            </w:r>
            <w:r>
              <w:rPr>
                <w:rFonts w:ascii="Arial" w:hAnsi="Arial" w:cs="Arial"/>
                <w:sz w:val="24"/>
                <w:szCs w:val="24"/>
              </w:rPr>
              <w:t>3.1</w:t>
            </w:r>
            <w:r w:rsidRPr="00202E8E">
              <w:rPr>
                <w:rFonts w:ascii="Arial" w:hAnsi="Arial" w:cs="Arial"/>
                <w:sz w:val="24"/>
                <w:szCs w:val="24"/>
              </w:rPr>
              <w:t xml:space="preserve">% are </w:t>
            </w:r>
            <w:r>
              <w:rPr>
                <w:rFonts w:ascii="Arial" w:hAnsi="Arial" w:cs="Arial"/>
                <w:sz w:val="24"/>
                <w:szCs w:val="24"/>
              </w:rPr>
              <w:t>following programmes of 450+hrs</w:t>
            </w:r>
          </w:p>
        </w:tc>
      </w:tr>
      <w:tr w:rsidR="007D7D3A" w:rsidRPr="007D7D3A" w:rsidTr="007D7D3A">
        <w:trPr>
          <w:trHeight w:val="70"/>
        </w:trPr>
        <w:tc>
          <w:tcPr>
            <w:tcW w:w="1282" w:type="dxa"/>
            <w:vAlign w:val="center"/>
          </w:tcPr>
          <w:p w:rsidR="007D7D3A" w:rsidRPr="007D7D3A" w:rsidRDefault="007D7D3A" w:rsidP="005A49A9">
            <w:pPr>
              <w:jc w:val="center"/>
              <w:rPr>
                <w:rFonts w:ascii="Arial" w:hAnsi="Arial" w:cs="Arial"/>
                <w:noProof/>
                <w:sz w:val="8"/>
                <w:szCs w:val="8"/>
                <w:lang w:eastAsia="en-GB"/>
              </w:rPr>
            </w:pPr>
          </w:p>
        </w:tc>
        <w:tc>
          <w:tcPr>
            <w:tcW w:w="8358" w:type="dxa"/>
            <w:gridSpan w:val="2"/>
            <w:vAlign w:val="center"/>
          </w:tcPr>
          <w:p w:rsidR="007D7D3A" w:rsidRPr="007D7D3A" w:rsidRDefault="007D7D3A" w:rsidP="005A49A9">
            <w:pPr>
              <w:autoSpaceDN w:val="0"/>
              <w:rPr>
                <w:rFonts w:ascii="Arial" w:hAnsi="Arial" w:cs="Arial"/>
                <w:sz w:val="8"/>
                <w:szCs w:val="8"/>
              </w:rPr>
            </w:pPr>
          </w:p>
        </w:tc>
      </w:tr>
      <w:tr w:rsidR="007B7CDF" w:rsidTr="007D7D3A">
        <w:trPr>
          <w:trHeight w:val="1113"/>
        </w:trPr>
        <w:tc>
          <w:tcPr>
            <w:tcW w:w="1282" w:type="dxa"/>
            <w:vAlign w:val="center"/>
          </w:tcPr>
          <w:p w:rsidR="007B7CDF" w:rsidRPr="007031FA" w:rsidRDefault="007B7CDF" w:rsidP="005A49A9">
            <w:pPr>
              <w:rPr>
                <w:rFonts w:ascii="Arial" w:hAnsi="Arial" w:cs="Arial"/>
                <w:sz w:val="24"/>
                <w:szCs w:val="24"/>
              </w:rPr>
            </w:pPr>
            <w:r>
              <w:rPr>
                <w:noProof/>
                <w:lang w:eastAsia="en-GB"/>
              </w:rPr>
              <w:lastRenderedPageBreak/>
              <w:drawing>
                <wp:inline distT="0" distB="0" distL="0" distR="0" wp14:anchorId="06FFA7A4" wp14:editId="18CEDFC6">
                  <wp:extent cx="648000" cy="648000"/>
                  <wp:effectExtent l="0" t="0" r="0" b="0"/>
                  <wp:docPr id="216" name="Picture 216" descr="microsco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icroscope-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7031FA" w:rsidRDefault="007B7CDF" w:rsidP="005A49A9">
            <w:pPr>
              <w:autoSpaceDN w:val="0"/>
              <w:rPr>
                <w:rFonts w:ascii="Arial" w:hAnsi="Arial" w:cs="Arial"/>
                <w:sz w:val="24"/>
                <w:szCs w:val="24"/>
              </w:rPr>
            </w:pPr>
            <w:r w:rsidRPr="00202E8E">
              <w:rPr>
                <w:rFonts w:ascii="Arial" w:hAnsi="Arial" w:cs="Arial"/>
                <w:sz w:val="24"/>
                <w:szCs w:val="24"/>
              </w:rPr>
              <w:t>Provision is being accessed in 1</w:t>
            </w:r>
            <w:r>
              <w:rPr>
                <w:rFonts w:ascii="Arial" w:hAnsi="Arial" w:cs="Arial"/>
                <w:sz w:val="24"/>
                <w:szCs w:val="24"/>
              </w:rPr>
              <w:t>1</w:t>
            </w:r>
            <w:r w:rsidRPr="00202E8E">
              <w:rPr>
                <w:rFonts w:ascii="Arial" w:hAnsi="Arial" w:cs="Arial"/>
                <w:sz w:val="24"/>
                <w:szCs w:val="24"/>
              </w:rPr>
              <w:t xml:space="preserve"> out of 15 sectors.  The main sector being accessed by Lancashire residents is Preparation for Life and Work at </w:t>
            </w:r>
            <w:r>
              <w:rPr>
                <w:rFonts w:ascii="Arial" w:hAnsi="Arial" w:cs="Arial"/>
                <w:sz w:val="24"/>
                <w:szCs w:val="24"/>
              </w:rPr>
              <w:t>77.5</w:t>
            </w:r>
            <w:r w:rsidRPr="00202E8E">
              <w:rPr>
                <w:rFonts w:ascii="Arial" w:hAnsi="Arial" w:cs="Arial"/>
                <w:sz w:val="24"/>
                <w:szCs w:val="24"/>
              </w:rPr>
              <w:t>%</w:t>
            </w:r>
          </w:p>
        </w:tc>
      </w:tr>
      <w:tr w:rsidR="007B7CDF" w:rsidTr="007D7D3A">
        <w:tc>
          <w:tcPr>
            <w:tcW w:w="6726" w:type="dxa"/>
            <w:gridSpan w:val="2"/>
            <w:vAlign w:val="center"/>
          </w:tcPr>
          <w:p w:rsidR="007B7CDF" w:rsidRDefault="007B7CDF" w:rsidP="005A49A9">
            <w:pPr>
              <w:pStyle w:val="ListParagraph"/>
              <w:ind w:left="0"/>
              <w:rPr>
                <w:rFonts w:ascii="Arial" w:hAnsi="Arial" w:cs="Arial"/>
                <w:b/>
                <w:sz w:val="24"/>
                <w:szCs w:val="24"/>
              </w:rPr>
            </w:pPr>
            <w:r>
              <w:rPr>
                <w:noProof/>
                <w:lang w:eastAsia="en-GB"/>
              </w:rPr>
              <w:drawing>
                <wp:inline distT="0" distB="0" distL="0" distR="0" wp14:anchorId="536B7450" wp14:editId="5C5A028B">
                  <wp:extent cx="3838353" cy="1935125"/>
                  <wp:effectExtent l="0" t="0" r="0" b="8255"/>
                  <wp:docPr id="234" name="Chart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914" w:type="dxa"/>
            <w:vAlign w:val="center"/>
          </w:tcPr>
          <w:p w:rsidR="007B7CDF" w:rsidRPr="009952DA" w:rsidRDefault="007B7CDF" w:rsidP="005A49A9">
            <w:pPr>
              <w:pStyle w:val="ListParagraph"/>
              <w:ind w:left="0"/>
              <w:rPr>
                <w:rFonts w:ascii="Arial" w:hAnsi="Arial" w:cs="Arial"/>
                <w:b/>
                <w:sz w:val="24"/>
                <w:szCs w:val="24"/>
              </w:rPr>
            </w:pPr>
            <w:r w:rsidRPr="009952DA">
              <w:rPr>
                <w:rFonts w:ascii="Arial" w:hAnsi="Arial" w:cs="Arial"/>
                <w:sz w:val="24"/>
                <w:szCs w:val="24"/>
              </w:rPr>
              <w:t>Compared to 2016/17, there are 11 fewer students at Entry level and 13 more at Other level</w:t>
            </w:r>
          </w:p>
        </w:tc>
      </w:tr>
      <w:tr w:rsidR="007B7CDF" w:rsidTr="007D7D3A">
        <w:tc>
          <w:tcPr>
            <w:tcW w:w="6726" w:type="dxa"/>
            <w:gridSpan w:val="2"/>
            <w:vAlign w:val="center"/>
          </w:tcPr>
          <w:p w:rsidR="007B7CDF" w:rsidRDefault="007B7CDF" w:rsidP="005A49A9">
            <w:pPr>
              <w:pStyle w:val="ListParagraph"/>
              <w:ind w:left="0"/>
              <w:rPr>
                <w:rFonts w:ascii="Arial" w:hAnsi="Arial" w:cs="Arial"/>
                <w:b/>
                <w:sz w:val="24"/>
                <w:szCs w:val="24"/>
              </w:rPr>
            </w:pPr>
            <w:r>
              <w:rPr>
                <w:noProof/>
                <w:lang w:eastAsia="en-GB"/>
              </w:rPr>
              <w:drawing>
                <wp:inline distT="0" distB="0" distL="0" distR="0" wp14:anchorId="04207467" wp14:editId="6C1E4817">
                  <wp:extent cx="3848986" cy="1903228"/>
                  <wp:effectExtent l="0" t="0" r="0" b="1905"/>
                  <wp:docPr id="240" name="Chart 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914" w:type="dxa"/>
            <w:vAlign w:val="center"/>
          </w:tcPr>
          <w:p w:rsidR="007B7CDF" w:rsidRPr="009952DA" w:rsidRDefault="007B7CDF" w:rsidP="005A49A9">
            <w:pPr>
              <w:pStyle w:val="ListParagraph"/>
              <w:ind w:left="0"/>
              <w:rPr>
                <w:rFonts w:ascii="Arial" w:hAnsi="Arial" w:cs="Arial"/>
                <w:b/>
                <w:sz w:val="24"/>
                <w:szCs w:val="24"/>
              </w:rPr>
            </w:pPr>
            <w:r w:rsidRPr="009952DA">
              <w:rPr>
                <w:rFonts w:ascii="Arial" w:hAnsi="Arial" w:cs="Arial"/>
                <w:sz w:val="24"/>
                <w:szCs w:val="24"/>
              </w:rPr>
              <w:t>Compared to 2016/17, there are 10 more White students participating</w:t>
            </w:r>
          </w:p>
        </w:tc>
      </w:tr>
    </w:tbl>
    <w:p w:rsidR="007B7CDF" w:rsidRPr="003C6B7E" w:rsidRDefault="007B7CDF" w:rsidP="007B7CDF">
      <w:pPr>
        <w:pStyle w:val="ListParagraph"/>
        <w:spacing w:after="0"/>
        <w:ind w:left="0"/>
        <w:rPr>
          <w:rFonts w:ascii="Arial" w:hAnsi="Arial" w:cs="Arial"/>
          <w:sz w:val="24"/>
          <w:szCs w:val="24"/>
        </w:rPr>
      </w:pPr>
      <w:r>
        <w:rPr>
          <w:rFonts w:ascii="Arial" w:hAnsi="Arial" w:cs="Arial"/>
          <w:sz w:val="24"/>
          <w:szCs w:val="24"/>
        </w:rPr>
        <w:t>In addition:</w:t>
      </w:r>
    </w:p>
    <w:p w:rsidR="007B7CDF" w:rsidRPr="00820FFB" w:rsidRDefault="007B7CDF" w:rsidP="007B7CDF">
      <w:pPr>
        <w:pStyle w:val="ListParagraph"/>
        <w:spacing w:after="0"/>
        <w:ind w:left="0"/>
        <w:rPr>
          <w:rFonts w:ascii="Arial" w:hAnsi="Arial" w:cs="Arial"/>
          <w:sz w:val="24"/>
          <w:szCs w:val="24"/>
        </w:rPr>
      </w:pPr>
    </w:p>
    <w:p w:rsidR="007B7CDF" w:rsidRPr="00202E8E" w:rsidRDefault="00FE497C" w:rsidP="007B7CDF">
      <w:pPr>
        <w:pStyle w:val="ListParagraph"/>
        <w:numPr>
          <w:ilvl w:val="0"/>
          <w:numId w:val="17"/>
        </w:numPr>
        <w:autoSpaceDN w:val="0"/>
        <w:spacing w:after="0" w:line="240" w:lineRule="auto"/>
        <w:rPr>
          <w:rFonts w:ascii="Arial" w:hAnsi="Arial" w:cs="Arial"/>
          <w:sz w:val="24"/>
          <w:szCs w:val="24"/>
        </w:rPr>
      </w:pPr>
      <w:r>
        <w:rPr>
          <w:rFonts w:ascii="Arial" w:hAnsi="Arial" w:cs="Arial"/>
          <w:sz w:val="24"/>
          <w:szCs w:val="24"/>
        </w:rPr>
        <w:t>91.4</w:t>
      </w:r>
      <w:r w:rsidR="007B7CDF" w:rsidRPr="00202E8E">
        <w:rPr>
          <w:rFonts w:ascii="Arial" w:hAnsi="Arial" w:cs="Arial"/>
          <w:sz w:val="24"/>
          <w:szCs w:val="24"/>
        </w:rPr>
        <w:t xml:space="preserve">% of students </w:t>
      </w:r>
      <w:r>
        <w:rPr>
          <w:rFonts w:ascii="Arial" w:hAnsi="Arial" w:cs="Arial"/>
          <w:sz w:val="24"/>
          <w:szCs w:val="24"/>
        </w:rPr>
        <w:t xml:space="preserve">met the </w:t>
      </w:r>
      <w:r w:rsidR="007B7CDF" w:rsidRPr="00202E8E">
        <w:rPr>
          <w:rFonts w:ascii="Arial" w:hAnsi="Arial" w:cs="Arial"/>
          <w:sz w:val="24"/>
          <w:szCs w:val="24"/>
        </w:rPr>
        <w:t xml:space="preserve">condition of </w:t>
      </w:r>
      <w:r>
        <w:rPr>
          <w:rFonts w:ascii="Arial" w:hAnsi="Arial" w:cs="Arial"/>
          <w:sz w:val="24"/>
          <w:szCs w:val="24"/>
        </w:rPr>
        <w:t>funding for English and maths</w:t>
      </w:r>
      <w:r w:rsidR="005809E3">
        <w:rPr>
          <w:rFonts w:ascii="Arial" w:hAnsi="Arial" w:cs="Arial"/>
          <w:sz w:val="24"/>
          <w:szCs w:val="24"/>
        </w:rPr>
        <w:br/>
      </w:r>
    </w:p>
    <w:tbl>
      <w:tblPr>
        <w:tblStyle w:val="TableGrid"/>
        <w:tblW w:w="0" w:type="auto"/>
        <w:shd w:val="clear" w:color="auto" w:fill="0058DA"/>
        <w:tblLook w:val="04A0" w:firstRow="1" w:lastRow="0" w:firstColumn="1" w:lastColumn="0" w:noHBand="0" w:noVBand="1"/>
      </w:tblPr>
      <w:tblGrid>
        <w:gridCol w:w="9016"/>
      </w:tblGrid>
      <w:tr w:rsidR="008E2ACA" w:rsidRPr="008E2ACA" w:rsidTr="005A49A9">
        <w:tc>
          <w:tcPr>
            <w:tcW w:w="9016" w:type="dxa"/>
            <w:tcBorders>
              <w:top w:val="nil"/>
              <w:left w:val="nil"/>
              <w:bottom w:val="nil"/>
              <w:right w:val="nil"/>
            </w:tcBorders>
            <w:shd w:val="clear" w:color="auto" w:fill="00ACE9"/>
          </w:tcPr>
          <w:p w:rsidR="007B7CDF" w:rsidRPr="008E2ACA" w:rsidRDefault="007B7CDF" w:rsidP="005A49A9">
            <w:pPr>
              <w:jc w:val="center"/>
              <w:rPr>
                <w:rFonts w:ascii="Arial" w:hAnsi="Arial" w:cs="Arial"/>
                <w:color w:val="FFFFFF" w:themeColor="background1"/>
                <w:sz w:val="24"/>
                <w:szCs w:val="24"/>
              </w:rPr>
            </w:pPr>
            <w:r w:rsidRPr="008E2ACA">
              <w:rPr>
                <w:rFonts w:ascii="Arial" w:hAnsi="Arial" w:cs="Arial"/>
                <w:b/>
                <w:color w:val="FFFFFF" w:themeColor="background1"/>
                <w:sz w:val="24"/>
                <w:szCs w:val="24"/>
              </w:rPr>
              <w:t>School Sixth Form (SSF) an</w:t>
            </w:r>
            <w:bookmarkStart w:id="3" w:name="SSF_and_Academy_Participation_Summary"/>
            <w:bookmarkEnd w:id="3"/>
            <w:r w:rsidRPr="008E2ACA">
              <w:rPr>
                <w:rFonts w:ascii="Arial" w:hAnsi="Arial" w:cs="Arial"/>
                <w:b/>
                <w:color w:val="FFFFFF" w:themeColor="background1"/>
                <w:sz w:val="24"/>
                <w:szCs w:val="24"/>
              </w:rPr>
              <w:t>d Academy Participation Summary</w:t>
            </w:r>
          </w:p>
        </w:tc>
      </w:tr>
    </w:tbl>
    <w:p w:rsidR="007B7CDF" w:rsidRDefault="007B7CDF" w:rsidP="007B7CDF">
      <w:pPr>
        <w:spacing w:after="0" w:line="240" w:lineRule="auto"/>
        <w:rPr>
          <w:rFonts w:ascii="Arial" w:hAnsi="Arial" w:cs="Arial"/>
          <w:sz w:val="24"/>
          <w:szCs w:val="24"/>
        </w:rPr>
      </w:pPr>
    </w:p>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5706"/>
        <w:gridCol w:w="2652"/>
      </w:tblGrid>
      <w:tr w:rsidR="007B7CDF" w:rsidTr="00277076">
        <w:trPr>
          <w:trHeight w:val="1219"/>
        </w:trPr>
        <w:tc>
          <w:tcPr>
            <w:tcW w:w="1282"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60C08ECB" wp14:editId="5632E613">
                  <wp:extent cx="648000" cy="648000"/>
                  <wp:effectExtent l="0" t="0" r="0" b="0"/>
                  <wp:docPr id="217" name="Picture 217" descr="location-m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cation-map-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7031FA" w:rsidRDefault="007B7CDF" w:rsidP="005A49A9">
            <w:pPr>
              <w:rPr>
                <w:rFonts w:ascii="Arial" w:hAnsi="Arial" w:cs="Arial"/>
                <w:sz w:val="24"/>
                <w:szCs w:val="24"/>
              </w:rPr>
            </w:pPr>
            <w:r w:rsidRPr="007031FA">
              <w:rPr>
                <w:rFonts w:ascii="Arial" w:hAnsi="Arial" w:cs="Arial"/>
                <w:sz w:val="24"/>
                <w:szCs w:val="24"/>
              </w:rPr>
              <w:t xml:space="preserve">Provision </w:t>
            </w:r>
            <w:r>
              <w:rPr>
                <w:rFonts w:ascii="Arial" w:hAnsi="Arial" w:cs="Arial"/>
                <w:sz w:val="24"/>
                <w:szCs w:val="24"/>
              </w:rPr>
              <w:t xml:space="preserve">is being </w:t>
            </w:r>
            <w:r w:rsidRPr="007031FA">
              <w:rPr>
                <w:rFonts w:ascii="Arial" w:hAnsi="Arial" w:cs="Arial"/>
                <w:sz w:val="24"/>
                <w:szCs w:val="24"/>
              </w:rPr>
              <w:t xml:space="preserve">accessed in </w:t>
            </w:r>
            <w:r>
              <w:rPr>
                <w:rFonts w:ascii="Arial" w:hAnsi="Arial" w:cs="Arial"/>
                <w:sz w:val="24"/>
                <w:szCs w:val="24"/>
              </w:rPr>
              <w:t>22</w:t>
            </w:r>
            <w:r w:rsidRPr="007031FA">
              <w:rPr>
                <w:rFonts w:ascii="Arial" w:hAnsi="Arial" w:cs="Arial"/>
                <w:sz w:val="24"/>
                <w:szCs w:val="24"/>
              </w:rPr>
              <w:t xml:space="preserve"> local authority area</w:t>
            </w:r>
            <w:r w:rsidR="00B33C63">
              <w:rPr>
                <w:rFonts w:ascii="Arial" w:hAnsi="Arial" w:cs="Arial"/>
                <w:sz w:val="24"/>
                <w:szCs w:val="24"/>
              </w:rPr>
              <w:t>s</w:t>
            </w:r>
            <w:r w:rsidRPr="007031FA">
              <w:rPr>
                <w:rFonts w:ascii="Arial" w:hAnsi="Arial" w:cs="Arial"/>
                <w:sz w:val="24"/>
                <w:szCs w:val="24"/>
              </w:rPr>
              <w:t xml:space="preserve">, with </w:t>
            </w:r>
            <w:r>
              <w:rPr>
                <w:rFonts w:ascii="Arial" w:hAnsi="Arial" w:cs="Arial"/>
                <w:sz w:val="24"/>
                <w:szCs w:val="24"/>
              </w:rPr>
              <w:t>89.6</w:t>
            </w:r>
            <w:r w:rsidRPr="007031FA">
              <w:rPr>
                <w:rFonts w:ascii="Arial" w:hAnsi="Arial" w:cs="Arial"/>
                <w:sz w:val="24"/>
                <w:szCs w:val="24"/>
              </w:rPr>
              <w:t>% (</w:t>
            </w:r>
            <w:r>
              <w:rPr>
                <w:rFonts w:ascii="Arial" w:hAnsi="Arial" w:cs="Arial"/>
                <w:sz w:val="24"/>
                <w:szCs w:val="24"/>
              </w:rPr>
              <w:t>3,678</w:t>
            </w:r>
            <w:r w:rsidRPr="007031FA">
              <w:rPr>
                <w:rFonts w:ascii="Arial" w:hAnsi="Arial" w:cs="Arial"/>
                <w:sz w:val="24"/>
                <w:szCs w:val="24"/>
              </w:rPr>
              <w:t xml:space="preserve"> Lancashire residents) accessing </w:t>
            </w:r>
            <w:r>
              <w:rPr>
                <w:rFonts w:ascii="Arial" w:hAnsi="Arial" w:cs="Arial"/>
                <w:sz w:val="24"/>
                <w:szCs w:val="24"/>
              </w:rPr>
              <w:t>SSF and Academy p</w:t>
            </w:r>
            <w:r w:rsidRPr="007031FA">
              <w:rPr>
                <w:rFonts w:ascii="Arial" w:hAnsi="Arial" w:cs="Arial"/>
                <w:sz w:val="24"/>
                <w:szCs w:val="24"/>
              </w:rPr>
              <w:t xml:space="preserve">rovision at Lancashire based providers.  Outside of Lancashire, the main areas are </w:t>
            </w:r>
            <w:r>
              <w:rPr>
                <w:rFonts w:ascii="Arial" w:hAnsi="Arial" w:cs="Arial"/>
                <w:sz w:val="24"/>
                <w:szCs w:val="24"/>
              </w:rPr>
              <w:t xml:space="preserve">Cumbria at 3.2% and </w:t>
            </w:r>
            <w:r w:rsidRPr="007031FA">
              <w:rPr>
                <w:rFonts w:ascii="Arial" w:hAnsi="Arial" w:cs="Arial"/>
                <w:sz w:val="24"/>
                <w:szCs w:val="24"/>
              </w:rPr>
              <w:t xml:space="preserve">Blackburn with </w:t>
            </w:r>
            <w:proofErr w:type="spellStart"/>
            <w:r w:rsidRPr="007031FA">
              <w:rPr>
                <w:rFonts w:ascii="Arial" w:hAnsi="Arial" w:cs="Arial"/>
                <w:sz w:val="24"/>
                <w:szCs w:val="24"/>
              </w:rPr>
              <w:t>Darwen</w:t>
            </w:r>
            <w:proofErr w:type="spellEnd"/>
            <w:r>
              <w:rPr>
                <w:rFonts w:ascii="Arial" w:hAnsi="Arial" w:cs="Arial"/>
                <w:sz w:val="24"/>
                <w:szCs w:val="24"/>
              </w:rPr>
              <w:t xml:space="preserve"> at 2.7%</w:t>
            </w:r>
          </w:p>
        </w:tc>
      </w:tr>
      <w:tr w:rsidR="008F4AF5" w:rsidRPr="008F4AF5" w:rsidTr="00277076">
        <w:trPr>
          <w:trHeight w:val="70"/>
        </w:trPr>
        <w:tc>
          <w:tcPr>
            <w:tcW w:w="1282" w:type="dxa"/>
            <w:vAlign w:val="center"/>
          </w:tcPr>
          <w:p w:rsidR="008F4AF5" w:rsidRPr="008F4AF5" w:rsidRDefault="008F4AF5" w:rsidP="005A49A9">
            <w:pPr>
              <w:rPr>
                <w:rFonts w:ascii="Arial" w:hAnsi="Arial" w:cs="Arial"/>
                <w:noProof/>
                <w:sz w:val="8"/>
                <w:szCs w:val="8"/>
                <w:lang w:eastAsia="en-GB"/>
              </w:rPr>
            </w:pPr>
          </w:p>
        </w:tc>
        <w:tc>
          <w:tcPr>
            <w:tcW w:w="8358" w:type="dxa"/>
            <w:gridSpan w:val="2"/>
            <w:vAlign w:val="center"/>
          </w:tcPr>
          <w:p w:rsidR="008F4AF5" w:rsidRPr="008F4AF5" w:rsidRDefault="008F4AF5" w:rsidP="005A49A9">
            <w:pPr>
              <w:rPr>
                <w:rFonts w:ascii="Arial" w:hAnsi="Arial" w:cs="Arial"/>
                <w:sz w:val="8"/>
                <w:szCs w:val="8"/>
              </w:rPr>
            </w:pPr>
          </w:p>
        </w:tc>
      </w:tr>
      <w:tr w:rsidR="007B7CDF" w:rsidTr="00277076">
        <w:trPr>
          <w:trHeight w:val="1077"/>
        </w:trPr>
        <w:tc>
          <w:tcPr>
            <w:tcW w:w="1282"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79B1490E" wp14:editId="214C9C58">
                  <wp:extent cx="648000" cy="648000"/>
                  <wp:effectExtent l="0" t="0" r="0" b="0"/>
                  <wp:docPr id="238" name="Picture 238" descr="sort-up-or-sort-down-couple-of-arrow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ort-up-or-sort-down-couple-of-arrows-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7031FA" w:rsidRDefault="007B7CDF" w:rsidP="005A49A9">
            <w:pPr>
              <w:rPr>
                <w:rFonts w:ascii="Arial" w:hAnsi="Arial" w:cs="Arial"/>
                <w:sz w:val="24"/>
                <w:szCs w:val="24"/>
              </w:rPr>
            </w:pPr>
            <w:r>
              <w:rPr>
                <w:rFonts w:ascii="Arial" w:hAnsi="Arial" w:cs="Arial"/>
                <w:sz w:val="24"/>
                <w:szCs w:val="24"/>
              </w:rPr>
              <w:t>From 2016/17 to 2017/18, the main change to where students are accessing provision is 396 fewer in Lancashire</w:t>
            </w:r>
          </w:p>
        </w:tc>
      </w:tr>
      <w:tr w:rsidR="008F4AF5" w:rsidRPr="008F4AF5" w:rsidTr="00277076">
        <w:trPr>
          <w:trHeight w:val="70"/>
        </w:trPr>
        <w:tc>
          <w:tcPr>
            <w:tcW w:w="1282" w:type="dxa"/>
            <w:vAlign w:val="center"/>
          </w:tcPr>
          <w:p w:rsidR="008F4AF5" w:rsidRPr="008F4AF5" w:rsidRDefault="008F4AF5" w:rsidP="005A49A9">
            <w:pPr>
              <w:rPr>
                <w:rFonts w:ascii="Arial" w:hAnsi="Arial" w:cs="Arial"/>
                <w:noProof/>
                <w:sz w:val="8"/>
                <w:szCs w:val="8"/>
                <w:lang w:eastAsia="en-GB"/>
              </w:rPr>
            </w:pPr>
          </w:p>
        </w:tc>
        <w:tc>
          <w:tcPr>
            <w:tcW w:w="8358" w:type="dxa"/>
            <w:gridSpan w:val="2"/>
            <w:vAlign w:val="center"/>
          </w:tcPr>
          <w:p w:rsidR="008F4AF5" w:rsidRPr="008F4AF5" w:rsidRDefault="008F4AF5" w:rsidP="005A49A9">
            <w:pPr>
              <w:rPr>
                <w:rFonts w:ascii="Arial" w:hAnsi="Arial" w:cs="Arial"/>
                <w:sz w:val="8"/>
                <w:szCs w:val="8"/>
              </w:rPr>
            </w:pPr>
          </w:p>
        </w:tc>
      </w:tr>
      <w:tr w:rsidR="007B7CDF" w:rsidTr="00277076">
        <w:trPr>
          <w:trHeight w:val="1238"/>
        </w:trPr>
        <w:tc>
          <w:tcPr>
            <w:tcW w:w="1282"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131691FF" wp14:editId="63EB95B0">
                  <wp:extent cx="648000" cy="648000"/>
                  <wp:effectExtent l="0" t="0" r="0" b="0"/>
                  <wp:docPr id="219" name="Picture 219" descr="universit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iversity-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4459C4" w:rsidRDefault="007B7CDF" w:rsidP="005A49A9">
            <w:pPr>
              <w:rPr>
                <w:rFonts w:ascii="Arial" w:hAnsi="Arial" w:cs="Arial"/>
                <w:sz w:val="24"/>
                <w:szCs w:val="24"/>
              </w:rPr>
            </w:pPr>
            <w:r w:rsidRPr="004459C4">
              <w:rPr>
                <w:rFonts w:ascii="Arial" w:hAnsi="Arial" w:cs="Arial"/>
                <w:sz w:val="24"/>
                <w:szCs w:val="24"/>
              </w:rPr>
              <w:t>Provision is being accessed at 7</w:t>
            </w:r>
            <w:r>
              <w:rPr>
                <w:rFonts w:ascii="Arial" w:hAnsi="Arial" w:cs="Arial"/>
                <w:sz w:val="24"/>
                <w:szCs w:val="24"/>
              </w:rPr>
              <w:t>0</w:t>
            </w:r>
            <w:r w:rsidRPr="004459C4">
              <w:rPr>
                <w:rFonts w:ascii="Arial" w:hAnsi="Arial" w:cs="Arial"/>
                <w:sz w:val="24"/>
                <w:szCs w:val="24"/>
              </w:rPr>
              <w:t xml:space="preserve"> providers.  The main providers are: Clitheroe Royal Grammar School at 1</w:t>
            </w:r>
            <w:r>
              <w:rPr>
                <w:rFonts w:ascii="Arial" w:hAnsi="Arial" w:cs="Arial"/>
                <w:sz w:val="24"/>
                <w:szCs w:val="24"/>
              </w:rPr>
              <w:t>3.7</w:t>
            </w:r>
            <w:r w:rsidRPr="004459C4">
              <w:rPr>
                <w:rFonts w:ascii="Arial" w:hAnsi="Arial" w:cs="Arial"/>
                <w:sz w:val="24"/>
                <w:szCs w:val="24"/>
              </w:rPr>
              <w:t xml:space="preserve">%, Ripley St Thomas C of E Academy at </w:t>
            </w:r>
            <w:r>
              <w:rPr>
                <w:rFonts w:ascii="Arial" w:hAnsi="Arial" w:cs="Arial"/>
                <w:sz w:val="24"/>
                <w:szCs w:val="24"/>
              </w:rPr>
              <w:t>9.0</w:t>
            </w:r>
            <w:r w:rsidRPr="004459C4">
              <w:rPr>
                <w:rFonts w:ascii="Arial" w:hAnsi="Arial" w:cs="Arial"/>
                <w:sz w:val="24"/>
                <w:szCs w:val="24"/>
              </w:rPr>
              <w:t xml:space="preserve">%, Accrington St Christopher's C of E High School at </w:t>
            </w:r>
            <w:r>
              <w:rPr>
                <w:rFonts w:ascii="Arial" w:hAnsi="Arial" w:cs="Arial"/>
                <w:sz w:val="24"/>
                <w:szCs w:val="24"/>
              </w:rPr>
              <w:t>6.8</w:t>
            </w:r>
            <w:r w:rsidRPr="004459C4">
              <w:rPr>
                <w:rFonts w:ascii="Arial" w:hAnsi="Arial" w:cs="Arial"/>
                <w:sz w:val="24"/>
                <w:szCs w:val="24"/>
              </w:rPr>
              <w:t xml:space="preserve">% and </w:t>
            </w:r>
            <w:proofErr w:type="spellStart"/>
            <w:r w:rsidRPr="004459C4">
              <w:rPr>
                <w:rFonts w:ascii="Arial" w:hAnsi="Arial" w:cs="Arial"/>
                <w:sz w:val="24"/>
                <w:szCs w:val="24"/>
              </w:rPr>
              <w:t>Bacup</w:t>
            </w:r>
            <w:proofErr w:type="spellEnd"/>
            <w:r w:rsidRPr="004459C4">
              <w:rPr>
                <w:rFonts w:ascii="Arial" w:hAnsi="Arial" w:cs="Arial"/>
                <w:sz w:val="24"/>
                <w:szCs w:val="24"/>
              </w:rPr>
              <w:t xml:space="preserve"> and </w:t>
            </w:r>
            <w:proofErr w:type="spellStart"/>
            <w:r w:rsidRPr="004459C4">
              <w:rPr>
                <w:rFonts w:ascii="Arial" w:hAnsi="Arial" w:cs="Arial"/>
                <w:sz w:val="24"/>
                <w:szCs w:val="24"/>
              </w:rPr>
              <w:t>Rawtenstall</w:t>
            </w:r>
            <w:proofErr w:type="spellEnd"/>
            <w:r w:rsidRPr="004459C4">
              <w:rPr>
                <w:rFonts w:ascii="Arial" w:hAnsi="Arial" w:cs="Arial"/>
                <w:sz w:val="24"/>
                <w:szCs w:val="24"/>
              </w:rPr>
              <w:t xml:space="preserve"> Grammar School at 6.</w:t>
            </w:r>
            <w:r>
              <w:rPr>
                <w:rFonts w:ascii="Arial" w:hAnsi="Arial" w:cs="Arial"/>
                <w:sz w:val="24"/>
                <w:szCs w:val="24"/>
              </w:rPr>
              <w:t>2</w:t>
            </w:r>
            <w:r w:rsidRPr="004459C4">
              <w:rPr>
                <w:rFonts w:ascii="Arial" w:hAnsi="Arial" w:cs="Arial"/>
                <w:sz w:val="24"/>
                <w:szCs w:val="24"/>
              </w:rPr>
              <w:t>%</w:t>
            </w:r>
          </w:p>
        </w:tc>
      </w:tr>
      <w:tr w:rsidR="008F4AF5" w:rsidRPr="008F4AF5" w:rsidTr="00277076">
        <w:trPr>
          <w:trHeight w:val="70"/>
        </w:trPr>
        <w:tc>
          <w:tcPr>
            <w:tcW w:w="1282" w:type="dxa"/>
            <w:vAlign w:val="center"/>
          </w:tcPr>
          <w:p w:rsidR="008F4AF5" w:rsidRPr="008F4AF5" w:rsidRDefault="008F4AF5" w:rsidP="005A49A9">
            <w:pPr>
              <w:rPr>
                <w:rFonts w:ascii="Arial" w:hAnsi="Arial" w:cs="Arial"/>
                <w:noProof/>
                <w:sz w:val="8"/>
                <w:szCs w:val="8"/>
                <w:lang w:eastAsia="en-GB"/>
              </w:rPr>
            </w:pPr>
          </w:p>
        </w:tc>
        <w:tc>
          <w:tcPr>
            <w:tcW w:w="8358" w:type="dxa"/>
            <w:gridSpan w:val="2"/>
            <w:vAlign w:val="center"/>
          </w:tcPr>
          <w:p w:rsidR="008F4AF5" w:rsidRPr="008F4AF5" w:rsidRDefault="008F4AF5" w:rsidP="005A49A9">
            <w:pPr>
              <w:rPr>
                <w:rFonts w:ascii="Arial" w:hAnsi="Arial" w:cs="Arial"/>
                <w:sz w:val="8"/>
                <w:szCs w:val="8"/>
              </w:rPr>
            </w:pPr>
          </w:p>
        </w:tc>
      </w:tr>
      <w:tr w:rsidR="007B7CDF" w:rsidTr="00277076">
        <w:trPr>
          <w:trHeight w:val="986"/>
        </w:trPr>
        <w:tc>
          <w:tcPr>
            <w:tcW w:w="1282"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5FDA67AA" wp14:editId="58C7BFB8">
                  <wp:extent cx="648000" cy="648000"/>
                  <wp:effectExtent l="0" t="0" r="0" b="0"/>
                  <wp:docPr id="239" name="Picture 239" descr="sort-up-or-sort-down-couple-of-arrow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ort-up-or-sort-down-couple-of-arrows-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7031FA" w:rsidRDefault="007B7CDF" w:rsidP="00B33C63">
            <w:pPr>
              <w:rPr>
                <w:rFonts w:ascii="Arial" w:hAnsi="Arial" w:cs="Arial"/>
                <w:sz w:val="24"/>
                <w:szCs w:val="24"/>
              </w:rPr>
            </w:pPr>
            <w:r>
              <w:rPr>
                <w:rFonts w:ascii="Arial" w:hAnsi="Arial" w:cs="Arial"/>
                <w:sz w:val="24"/>
                <w:szCs w:val="24"/>
              </w:rPr>
              <w:t>From 2016/17 to 2017/18, the main changes to where students are accessing provision are: 53 fewer at Thomas Whitham Sixth Form</w:t>
            </w:r>
            <w:r w:rsidRPr="00E4791D">
              <w:rPr>
                <w:rFonts w:ascii="Arial" w:hAnsi="Arial" w:cs="Arial"/>
                <w:sz w:val="24"/>
                <w:szCs w:val="24"/>
              </w:rPr>
              <w:t>; 51 fewer at Central Lancaster High School</w:t>
            </w:r>
            <w:r>
              <w:rPr>
                <w:rFonts w:ascii="Arial" w:hAnsi="Arial" w:cs="Arial"/>
                <w:sz w:val="24"/>
                <w:szCs w:val="24"/>
              </w:rPr>
              <w:t xml:space="preserve"> (this school only had Year 13 in 2017/18 and closed its sixth form on 31 August 2018)</w:t>
            </w:r>
            <w:r w:rsidRPr="00E4791D">
              <w:rPr>
                <w:rFonts w:ascii="Arial" w:hAnsi="Arial" w:cs="Arial"/>
                <w:sz w:val="24"/>
                <w:szCs w:val="24"/>
              </w:rPr>
              <w:t xml:space="preserve">; 49 fewer at Lytham St </w:t>
            </w:r>
            <w:proofErr w:type="spellStart"/>
            <w:r w:rsidRPr="00E4791D">
              <w:rPr>
                <w:rFonts w:ascii="Arial" w:hAnsi="Arial" w:cs="Arial"/>
                <w:sz w:val="24"/>
                <w:szCs w:val="24"/>
              </w:rPr>
              <w:t>Annes</w:t>
            </w:r>
            <w:proofErr w:type="spellEnd"/>
            <w:r w:rsidRPr="00E4791D">
              <w:rPr>
                <w:rFonts w:ascii="Arial" w:hAnsi="Arial" w:cs="Arial"/>
                <w:sz w:val="24"/>
                <w:szCs w:val="24"/>
              </w:rPr>
              <w:t xml:space="preserve"> </w:t>
            </w:r>
            <w:r w:rsidRPr="00E4791D">
              <w:rPr>
                <w:rFonts w:ascii="Arial" w:hAnsi="Arial" w:cs="Arial"/>
                <w:sz w:val="24"/>
                <w:szCs w:val="24"/>
              </w:rPr>
              <w:lastRenderedPageBreak/>
              <w:t>Technology and Performing Arts College</w:t>
            </w:r>
            <w:r>
              <w:rPr>
                <w:rFonts w:ascii="Arial" w:hAnsi="Arial" w:cs="Arial"/>
                <w:sz w:val="24"/>
                <w:szCs w:val="24"/>
              </w:rPr>
              <w:t xml:space="preserve"> (this school only had Year 13 in 2017/18 and closed its sixth form on 31 August 2018)</w:t>
            </w:r>
            <w:r w:rsidRPr="00E4791D">
              <w:rPr>
                <w:rFonts w:ascii="Arial" w:hAnsi="Arial" w:cs="Arial"/>
                <w:sz w:val="24"/>
                <w:szCs w:val="24"/>
              </w:rPr>
              <w:t>; and 48 fewer at Carr Hill High School and Sixth Form</w:t>
            </w:r>
            <w:r>
              <w:rPr>
                <w:rFonts w:ascii="Arial" w:hAnsi="Arial" w:cs="Arial"/>
                <w:sz w:val="24"/>
                <w:szCs w:val="24"/>
              </w:rPr>
              <w:t xml:space="preserve"> (this school is closing its sixth form from 31 August 2019 and only has Year 13 in 2018/19)  </w:t>
            </w:r>
          </w:p>
        </w:tc>
      </w:tr>
      <w:tr w:rsidR="008F4AF5" w:rsidRPr="008F4AF5" w:rsidTr="00277076">
        <w:trPr>
          <w:trHeight w:val="70"/>
        </w:trPr>
        <w:tc>
          <w:tcPr>
            <w:tcW w:w="1282" w:type="dxa"/>
            <w:vAlign w:val="center"/>
          </w:tcPr>
          <w:p w:rsidR="008F4AF5" w:rsidRPr="008F4AF5" w:rsidRDefault="008F4AF5" w:rsidP="005A49A9">
            <w:pPr>
              <w:rPr>
                <w:rFonts w:ascii="Arial" w:hAnsi="Arial" w:cs="Arial"/>
                <w:noProof/>
                <w:sz w:val="8"/>
                <w:szCs w:val="8"/>
                <w:lang w:eastAsia="en-GB"/>
              </w:rPr>
            </w:pPr>
          </w:p>
        </w:tc>
        <w:tc>
          <w:tcPr>
            <w:tcW w:w="8358" w:type="dxa"/>
            <w:gridSpan w:val="2"/>
            <w:vAlign w:val="center"/>
          </w:tcPr>
          <w:p w:rsidR="008F4AF5" w:rsidRPr="008F4AF5" w:rsidRDefault="008F4AF5" w:rsidP="005A49A9">
            <w:pPr>
              <w:rPr>
                <w:rFonts w:ascii="Arial" w:hAnsi="Arial" w:cs="Arial"/>
                <w:sz w:val="8"/>
                <w:szCs w:val="8"/>
              </w:rPr>
            </w:pPr>
          </w:p>
        </w:tc>
      </w:tr>
      <w:tr w:rsidR="007B7CDF" w:rsidTr="00277076">
        <w:trPr>
          <w:trHeight w:val="1165"/>
        </w:trPr>
        <w:tc>
          <w:tcPr>
            <w:tcW w:w="1282" w:type="dxa"/>
            <w:vAlign w:val="center"/>
          </w:tcPr>
          <w:p w:rsidR="007B7CDF" w:rsidRDefault="007B7CDF" w:rsidP="005A49A9">
            <w:pPr>
              <w:rPr>
                <w:noProof/>
                <w:lang w:eastAsia="en-GB"/>
              </w:rPr>
            </w:pPr>
            <w:r>
              <w:rPr>
                <w:noProof/>
                <w:lang w:eastAsia="en-GB"/>
              </w:rPr>
              <w:drawing>
                <wp:inline distT="0" distB="0" distL="0" distR="0" wp14:anchorId="0212E351" wp14:editId="29A75C5D">
                  <wp:extent cx="648000" cy="648000"/>
                  <wp:effectExtent l="0" t="0" r="0" b="0"/>
                  <wp:docPr id="198" name="Picture 198" descr="classmat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assmates-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Default="007B7CDF" w:rsidP="005A49A9">
            <w:pPr>
              <w:rPr>
                <w:rFonts w:ascii="Arial" w:hAnsi="Arial" w:cs="Arial"/>
                <w:sz w:val="24"/>
                <w:szCs w:val="24"/>
              </w:rPr>
            </w:pPr>
            <w:r>
              <w:rPr>
                <w:rFonts w:ascii="Arial" w:hAnsi="Arial" w:cs="Arial"/>
                <w:sz w:val="24"/>
                <w:szCs w:val="24"/>
              </w:rPr>
              <w:t xml:space="preserve">54.3% of students participating are female and 45.7% are male.  Compared to 2016/17, male students have reduced by 244 and female students have reduced by 196 </w:t>
            </w:r>
          </w:p>
        </w:tc>
      </w:tr>
      <w:tr w:rsidR="008F4AF5" w:rsidRPr="008F4AF5" w:rsidTr="00277076">
        <w:trPr>
          <w:trHeight w:val="70"/>
        </w:trPr>
        <w:tc>
          <w:tcPr>
            <w:tcW w:w="1282" w:type="dxa"/>
            <w:vAlign w:val="center"/>
          </w:tcPr>
          <w:p w:rsidR="008F4AF5" w:rsidRPr="008F4AF5" w:rsidRDefault="008F4AF5" w:rsidP="005A49A9">
            <w:pPr>
              <w:rPr>
                <w:rFonts w:ascii="Arial" w:hAnsi="Arial" w:cs="Arial"/>
                <w:noProof/>
                <w:sz w:val="8"/>
                <w:szCs w:val="8"/>
                <w:lang w:eastAsia="en-GB"/>
              </w:rPr>
            </w:pPr>
          </w:p>
        </w:tc>
        <w:tc>
          <w:tcPr>
            <w:tcW w:w="8358" w:type="dxa"/>
            <w:gridSpan w:val="2"/>
            <w:vAlign w:val="center"/>
          </w:tcPr>
          <w:p w:rsidR="008F4AF5" w:rsidRPr="008F4AF5" w:rsidRDefault="008F4AF5" w:rsidP="005A49A9">
            <w:pPr>
              <w:rPr>
                <w:rFonts w:ascii="Arial" w:hAnsi="Arial" w:cs="Arial"/>
                <w:sz w:val="8"/>
                <w:szCs w:val="8"/>
              </w:rPr>
            </w:pPr>
          </w:p>
        </w:tc>
      </w:tr>
      <w:tr w:rsidR="007B7CDF" w:rsidTr="00277076">
        <w:trPr>
          <w:trHeight w:val="1409"/>
        </w:trPr>
        <w:tc>
          <w:tcPr>
            <w:tcW w:w="1282" w:type="dxa"/>
            <w:vAlign w:val="center"/>
          </w:tcPr>
          <w:p w:rsidR="007B7CDF" w:rsidRPr="007031FA" w:rsidRDefault="007B7CDF" w:rsidP="005A49A9">
            <w:pPr>
              <w:jc w:val="center"/>
              <w:rPr>
                <w:rFonts w:ascii="Arial" w:hAnsi="Arial" w:cs="Arial"/>
                <w:sz w:val="24"/>
                <w:szCs w:val="24"/>
              </w:rPr>
            </w:pPr>
            <w:r>
              <w:rPr>
                <w:noProof/>
                <w:lang w:eastAsia="en-GB"/>
              </w:rPr>
              <w:drawing>
                <wp:inline distT="0" distB="0" distL="0" distR="0" wp14:anchorId="148F2FA3" wp14:editId="54232E25">
                  <wp:extent cx="648000" cy="648000"/>
                  <wp:effectExtent l="0" t="0" r="0" b="0"/>
                  <wp:docPr id="204" name="Picture 204" descr="presentati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resentation-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B22AE6" w:rsidRDefault="007B7CDF" w:rsidP="005A49A9">
            <w:pPr>
              <w:autoSpaceDN w:val="0"/>
              <w:rPr>
                <w:rFonts w:ascii="Arial" w:hAnsi="Arial" w:cs="Arial"/>
                <w:sz w:val="24"/>
                <w:szCs w:val="24"/>
              </w:rPr>
            </w:pPr>
            <w:r w:rsidRPr="00B22AE6">
              <w:rPr>
                <w:rFonts w:ascii="Arial" w:hAnsi="Arial" w:cs="Arial"/>
                <w:sz w:val="24"/>
                <w:szCs w:val="24"/>
              </w:rPr>
              <w:t>94.</w:t>
            </w:r>
            <w:r>
              <w:rPr>
                <w:rFonts w:ascii="Arial" w:hAnsi="Arial" w:cs="Arial"/>
                <w:sz w:val="24"/>
                <w:szCs w:val="24"/>
              </w:rPr>
              <w:t>8</w:t>
            </w:r>
            <w:r w:rsidRPr="00B22AE6">
              <w:rPr>
                <w:rFonts w:ascii="Arial" w:hAnsi="Arial" w:cs="Arial"/>
                <w:sz w:val="24"/>
                <w:szCs w:val="24"/>
              </w:rPr>
              <w:t xml:space="preserve">% of students are following a full time programme and </w:t>
            </w:r>
            <w:r>
              <w:rPr>
                <w:rFonts w:ascii="Arial" w:hAnsi="Arial" w:cs="Arial"/>
                <w:sz w:val="24"/>
                <w:szCs w:val="24"/>
              </w:rPr>
              <w:t>3.3</w:t>
            </w:r>
            <w:r w:rsidRPr="00B22AE6">
              <w:rPr>
                <w:rFonts w:ascii="Arial" w:hAnsi="Arial" w:cs="Arial"/>
                <w:sz w:val="24"/>
                <w:szCs w:val="24"/>
              </w:rPr>
              <w:t>% are following a programme of 450+hrs, which is for those aged 18 and over and who do not have high needs</w:t>
            </w:r>
            <w:r>
              <w:rPr>
                <w:rFonts w:ascii="Arial" w:hAnsi="Arial" w:cs="Arial"/>
                <w:sz w:val="24"/>
                <w:szCs w:val="24"/>
              </w:rPr>
              <w:t xml:space="preserve">.  </w:t>
            </w:r>
            <w:r w:rsidRPr="001443C6">
              <w:rPr>
                <w:rFonts w:ascii="Arial" w:hAnsi="Arial" w:cs="Arial"/>
                <w:sz w:val="24"/>
                <w:szCs w:val="24"/>
              </w:rPr>
              <w:t>The remaining students are fo</w:t>
            </w:r>
            <w:r w:rsidR="00B33C63">
              <w:rPr>
                <w:rFonts w:ascii="Arial" w:hAnsi="Arial" w:cs="Arial"/>
                <w:sz w:val="24"/>
                <w:szCs w:val="24"/>
              </w:rPr>
              <w:t>llowing a part time programme</w:t>
            </w:r>
          </w:p>
        </w:tc>
      </w:tr>
      <w:tr w:rsidR="008F4AF5" w:rsidRPr="008F4AF5" w:rsidTr="00277076">
        <w:trPr>
          <w:trHeight w:val="70"/>
        </w:trPr>
        <w:tc>
          <w:tcPr>
            <w:tcW w:w="1282" w:type="dxa"/>
            <w:vAlign w:val="center"/>
          </w:tcPr>
          <w:p w:rsidR="008F4AF5" w:rsidRPr="008F4AF5" w:rsidRDefault="008F4AF5" w:rsidP="005A49A9">
            <w:pPr>
              <w:jc w:val="center"/>
              <w:rPr>
                <w:rFonts w:ascii="Arial" w:hAnsi="Arial" w:cs="Arial"/>
                <w:noProof/>
                <w:sz w:val="8"/>
                <w:szCs w:val="8"/>
                <w:lang w:eastAsia="en-GB"/>
              </w:rPr>
            </w:pPr>
          </w:p>
        </w:tc>
        <w:tc>
          <w:tcPr>
            <w:tcW w:w="8358" w:type="dxa"/>
            <w:gridSpan w:val="2"/>
            <w:vAlign w:val="center"/>
          </w:tcPr>
          <w:p w:rsidR="008F4AF5" w:rsidRPr="008F4AF5" w:rsidRDefault="008F4AF5" w:rsidP="005A49A9">
            <w:pPr>
              <w:autoSpaceDN w:val="0"/>
              <w:rPr>
                <w:rFonts w:ascii="Arial" w:hAnsi="Arial" w:cs="Arial"/>
                <w:sz w:val="8"/>
                <w:szCs w:val="8"/>
              </w:rPr>
            </w:pPr>
          </w:p>
        </w:tc>
      </w:tr>
      <w:tr w:rsidR="007B7CDF" w:rsidTr="00277076">
        <w:trPr>
          <w:trHeight w:val="1191"/>
        </w:trPr>
        <w:tc>
          <w:tcPr>
            <w:tcW w:w="1282"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64AE288A" wp14:editId="085633F1">
                  <wp:extent cx="648000" cy="648000"/>
                  <wp:effectExtent l="0" t="0" r="0" b="0"/>
                  <wp:docPr id="206" name="Picture 206" descr="microsco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icroscope-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58" w:type="dxa"/>
            <w:gridSpan w:val="2"/>
            <w:vAlign w:val="center"/>
          </w:tcPr>
          <w:p w:rsidR="007B7CDF" w:rsidRPr="007031FA" w:rsidRDefault="007B7CDF" w:rsidP="005A49A9">
            <w:pPr>
              <w:rPr>
                <w:rFonts w:ascii="Arial" w:hAnsi="Arial" w:cs="Arial"/>
                <w:sz w:val="24"/>
                <w:szCs w:val="24"/>
              </w:rPr>
            </w:pPr>
            <w:r w:rsidRPr="00B22AE6">
              <w:rPr>
                <w:rFonts w:ascii="Arial" w:hAnsi="Arial" w:cs="Arial"/>
                <w:sz w:val="24"/>
                <w:szCs w:val="24"/>
              </w:rPr>
              <w:t>Provision is being accessed in 1</w:t>
            </w:r>
            <w:r>
              <w:rPr>
                <w:rFonts w:ascii="Arial" w:hAnsi="Arial" w:cs="Arial"/>
                <w:sz w:val="24"/>
                <w:szCs w:val="24"/>
              </w:rPr>
              <w:t>4</w:t>
            </w:r>
            <w:r w:rsidRPr="00B22AE6">
              <w:rPr>
                <w:rFonts w:ascii="Arial" w:hAnsi="Arial" w:cs="Arial"/>
                <w:sz w:val="24"/>
                <w:szCs w:val="24"/>
              </w:rPr>
              <w:t xml:space="preserve"> out of 15 sectors.  The main sectors being accessed by Lancashire residents are Science and Maths at 3</w:t>
            </w:r>
            <w:r>
              <w:rPr>
                <w:rFonts w:ascii="Arial" w:hAnsi="Arial" w:cs="Arial"/>
                <w:sz w:val="24"/>
                <w:szCs w:val="24"/>
              </w:rPr>
              <w:t>7.9</w:t>
            </w:r>
            <w:r w:rsidRPr="00B22AE6">
              <w:rPr>
                <w:rFonts w:ascii="Arial" w:hAnsi="Arial" w:cs="Arial"/>
                <w:sz w:val="24"/>
                <w:szCs w:val="24"/>
              </w:rPr>
              <w:t xml:space="preserve">%; Social Sciences at </w:t>
            </w:r>
            <w:r>
              <w:rPr>
                <w:rFonts w:ascii="Arial" w:hAnsi="Arial" w:cs="Arial"/>
                <w:sz w:val="24"/>
                <w:szCs w:val="24"/>
              </w:rPr>
              <w:t>11.6</w:t>
            </w:r>
            <w:r w:rsidRPr="00B22AE6">
              <w:rPr>
                <w:rFonts w:ascii="Arial" w:hAnsi="Arial" w:cs="Arial"/>
                <w:sz w:val="24"/>
                <w:szCs w:val="24"/>
              </w:rPr>
              <w:t>%</w:t>
            </w:r>
            <w:r>
              <w:rPr>
                <w:rFonts w:ascii="Arial" w:hAnsi="Arial" w:cs="Arial"/>
                <w:sz w:val="24"/>
                <w:szCs w:val="24"/>
              </w:rPr>
              <w:t xml:space="preserve">; and </w:t>
            </w:r>
            <w:r w:rsidRPr="00B22AE6">
              <w:rPr>
                <w:rFonts w:ascii="Arial" w:hAnsi="Arial" w:cs="Arial"/>
                <w:sz w:val="24"/>
                <w:szCs w:val="24"/>
              </w:rPr>
              <w:t>Languages, Literature and Culture at 11.</w:t>
            </w:r>
            <w:r>
              <w:rPr>
                <w:rFonts w:ascii="Arial" w:hAnsi="Arial" w:cs="Arial"/>
                <w:sz w:val="24"/>
                <w:szCs w:val="24"/>
              </w:rPr>
              <w:t>2%</w:t>
            </w:r>
          </w:p>
        </w:tc>
      </w:tr>
      <w:tr w:rsidR="007B7CDF" w:rsidTr="00277076">
        <w:tc>
          <w:tcPr>
            <w:tcW w:w="6988" w:type="dxa"/>
            <w:gridSpan w:val="2"/>
            <w:vAlign w:val="center"/>
          </w:tcPr>
          <w:p w:rsidR="007B7CDF" w:rsidRDefault="007B7CDF" w:rsidP="005A49A9">
            <w:pPr>
              <w:rPr>
                <w:rFonts w:ascii="Arial" w:hAnsi="Arial" w:cs="Arial"/>
                <w:sz w:val="24"/>
                <w:szCs w:val="24"/>
              </w:rPr>
            </w:pPr>
            <w:r>
              <w:rPr>
                <w:noProof/>
                <w:lang w:eastAsia="en-GB"/>
              </w:rPr>
              <w:drawing>
                <wp:inline distT="0" distB="0" distL="0" distR="0" wp14:anchorId="6E13570D" wp14:editId="76FF77E5">
                  <wp:extent cx="3324225" cy="1866900"/>
                  <wp:effectExtent l="0" t="0" r="0" b="0"/>
                  <wp:docPr id="241" name="Chart 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652" w:type="dxa"/>
            <w:vAlign w:val="center"/>
          </w:tcPr>
          <w:p w:rsidR="007B7CDF" w:rsidRPr="009E390B" w:rsidRDefault="007B7CDF" w:rsidP="005A49A9">
            <w:pPr>
              <w:pStyle w:val="ListParagraph"/>
              <w:ind w:left="0"/>
              <w:rPr>
                <w:rFonts w:ascii="Arial" w:hAnsi="Arial" w:cs="Arial"/>
                <w:b/>
                <w:sz w:val="24"/>
                <w:szCs w:val="24"/>
              </w:rPr>
            </w:pPr>
            <w:r w:rsidRPr="009E390B">
              <w:rPr>
                <w:rFonts w:ascii="Arial" w:hAnsi="Arial" w:cs="Arial"/>
                <w:sz w:val="24"/>
                <w:szCs w:val="24"/>
              </w:rPr>
              <w:t>Compared to 2016/17, there are 405 fewer students at level 3</w:t>
            </w:r>
          </w:p>
        </w:tc>
      </w:tr>
      <w:tr w:rsidR="007B7CDF" w:rsidTr="00277076">
        <w:trPr>
          <w:trHeight w:val="3251"/>
        </w:trPr>
        <w:tc>
          <w:tcPr>
            <w:tcW w:w="6988" w:type="dxa"/>
            <w:gridSpan w:val="2"/>
            <w:vAlign w:val="center"/>
          </w:tcPr>
          <w:p w:rsidR="007B7CDF" w:rsidRDefault="007B7CDF" w:rsidP="005A49A9">
            <w:pPr>
              <w:rPr>
                <w:rFonts w:ascii="Arial" w:hAnsi="Arial" w:cs="Arial"/>
                <w:sz w:val="24"/>
                <w:szCs w:val="24"/>
              </w:rPr>
            </w:pPr>
            <w:r>
              <w:rPr>
                <w:noProof/>
                <w:lang w:eastAsia="en-GB"/>
              </w:rPr>
              <w:drawing>
                <wp:inline distT="0" distB="0" distL="0" distR="0" wp14:anchorId="41A774DE" wp14:editId="503B390C">
                  <wp:extent cx="3629025" cy="2028825"/>
                  <wp:effectExtent l="0" t="0" r="0" b="0"/>
                  <wp:docPr id="242" name="Chart 2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652" w:type="dxa"/>
            <w:vAlign w:val="center"/>
          </w:tcPr>
          <w:p w:rsidR="007B7CDF" w:rsidRPr="009E390B" w:rsidRDefault="007B7CDF" w:rsidP="005A49A9">
            <w:pPr>
              <w:pStyle w:val="ListParagraph"/>
              <w:ind w:left="0"/>
              <w:rPr>
                <w:rFonts w:ascii="Arial" w:hAnsi="Arial" w:cs="Arial"/>
                <w:b/>
                <w:sz w:val="24"/>
                <w:szCs w:val="24"/>
              </w:rPr>
            </w:pPr>
            <w:r w:rsidRPr="009E390B">
              <w:rPr>
                <w:rFonts w:ascii="Arial" w:hAnsi="Arial" w:cs="Arial"/>
                <w:sz w:val="24"/>
                <w:szCs w:val="24"/>
              </w:rPr>
              <w:t>Compared to 2016/17, there are 84 fewer Asian students participating, 399 fewer White students and 40 more students from an Other ethnic background</w:t>
            </w:r>
          </w:p>
        </w:tc>
      </w:tr>
    </w:tbl>
    <w:p w:rsidR="007B7CDF" w:rsidRDefault="007B7CDF" w:rsidP="007B7CDF">
      <w:pPr>
        <w:spacing w:after="0" w:line="240" w:lineRule="auto"/>
        <w:rPr>
          <w:rFonts w:ascii="Arial" w:hAnsi="Arial" w:cs="Arial"/>
          <w:sz w:val="24"/>
          <w:szCs w:val="24"/>
        </w:rPr>
      </w:pPr>
      <w:r>
        <w:rPr>
          <w:rFonts w:ascii="Arial" w:hAnsi="Arial" w:cs="Arial"/>
          <w:sz w:val="24"/>
          <w:szCs w:val="24"/>
        </w:rPr>
        <w:t>In addition:</w:t>
      </w:r>
    </w:p>
    <w:p w:rsidR="007B7CDF" w:rsidRPr="00FE497C" w:rsidRDefault="007B7CDF" w:rsidP="007B7CDF">
      <w:pPr>
        <w:spacing w:after="0" w:line="240" w:lineRule="auto"/>
        <w:rPr>
          <w:rFonts w:ascii="Arial" w:hAnsi="Arial" w:cs="Arial"/>
          <w:sz w:val="24"/>
          <w:szCs w:val="24"/>
        </w:rPr>
      </w:pPr>
    </w:p>
    <w:p w:rsidR="007B7CDF" w:rsidRPr="00FE497C" w:rsidRDefault="00FE497C" w:rsidP="007B7CDF">
      <w:pPr>
        <w:pStyle w:val="ListParagraph"/>
        <w:numPr>
          <w:ilvl w:val="0"/>
          <w:numId w:val="17"/>
        </w:numPr>
        <w:autoSpaceDN w:val="0"/>
        <w:spacing w:after="0" w:line="240" w:lineRule="auto"/>
        <w:rPr>
          <w:rFonts w:ascii="Arial" w:hAnsi="Arial" w:cs="Arial"/>
          <w:sz w:val="24"/>
          <w:szCs w:val="24"/>
        </w:rPr>
      </w:pPr>
      <w:r w:rsidRPr="00FE497C">
        <w:rPr>
          <w:rFonts w:ascii="Arial" w:hAnsi="Arial" w:cs="Arial"/>
          <w:sz w:val="24"/>
          <w:szCs w:val="24"/>
        </w:rPr>
        <w:t>99.1</w:t>
      </w:r>
      <w:r w:rsidR="007B7CDF" w:rsidRPr="00FE497C">
        <w:rPr>
          <w:rFonts w:ascii="Arial" w:hAnsi="Arial" w:cs="Arial"/>
          <w:sz w:val="24"/>
          <w:szCs w:val="24"/>
        </w:rPr>
        <w:t xml:space="preserve">% of students </w:t>
      </w:r>
      <w:r w:rsidRPr="00FE497C">
        <w:rPr>
          <w:rFonts w:ascii="Arial" w:hAnsi="Arial" w:cs="Arial"/>
          <w:sz w:val="24"/>
          <w:szCs w:val="24"/>
        </w:rPr>
        <w:t xml:space="preserve">met </w:t>
      </w:r>
      <w:r w:rsidR="007B7CDF" w:rsidRPr="00FE497C">
        <w:rPr>
          <w:rFonts w:ascii="Arial" w:hAnsi="Arial" w:cs="Arial"/>
          <w:sz w:val="24"/>
          <w:szCs w:val="24"/>
        </w:rPr>
        <w:t>the condition of funding for English and math</w:t>
      </w:r>
      <w:r w:rsidRPr="00FE497C">
        <w:rPr>
          <w:rFonts w:ascii="Arial" w:hAnsi="Arial" w:cs="Arial"/>
          <w:sz w:val="24"/>
          <w:szCs w:val="24"/>
        </w:rPr>
        <w:t>s</w:t>
      </w:r>
    </w:p>
    <w:p w:rsidR="007B7CDF" w:rsidRPr="001443C6" w:rsidRDefault="007B7CDF" w:rsidP="007B7CDF">
      <w:pPr>
        <w:pStyle w:val="ListParagraph"/>
        <w:numPr>
          <w:ilvl w:val="0"/>
          <w:numId w:val="17"/>
        </w:numPr>
        <w:autoSpaceDN w:val="0"/>
        <w:spacing w:after="0" w:line="240" w:lineRule="auto"/>
        <w:rPr>
          <w:rFonts w:ascii="Arial" w:hAnsi="Arial" w:cs="Arial"/>
          <w:sz w:val="24"/>
          <w:szCs w:val="24"/>
        </w:rPr>
      </w:pPr>
      <w:r w:rsidRPr="001443C6">
        <w:rPr>
          <w:rFonts w:ascii="Arial" w:hAnsi="Arial" w:cs="Arial"/>
          <w:sz w:val="24"/>
          <w:szCs w:val="24"/>
        </w:rPr>
        <w:t>0.</w:t>
      </w:r>
      <w:r>
        <w:rPr>
          <w:rFonts w:ascii="Arial" w:hAnsi="Arial" w:cs="Arial"/>
          <w:sz w:val="24"/>
          <w:szCs w:val="24"/>
        </w:rPr>
        <w:t>8</w:t>
      </w:r>
      <w:r w:rsidRPr="001443C6">
        <w:rPr>
          <w:rFonts w:ascii="Arial" w:hAnsi="Arial" w:cs="Arial"/>
          <w:sz w:val="24"/>
          <w:szCs w:val="24"/>
        </w:rPr>
        <w:t xml:space="preserve">% of students are classed as having high needs and this equates to </w:t>
      </w:r>
      <w:r>
        <w:rPr>
          <w:rFonts w:ascii="Arial" w:hAnsi="Arial" w:cs="Arial"/>
          <w:sz w:val="24"/>
          <w:szCs w:val="24"/>
        </w:rPr>
        <w:t>33</w:t>
      </w:r>
      <w:r w:rsidRPr="001443C6">
        <w:rPr>
          <w:rFonts w:ascii="Arial" w:hAnsi="Arial" w:cs="Arial"/>
          <w:sz w:val="24"/>
          <w:szCs w:val="24"/>
        </w:rPr>
        <w:t xml:space="preserve"> students</w:t>
      </w:r>
      <w:r>
        <w:rPr>
          <w:rFonts w:ascii="Arial" w:hAnsi="Arial" w:cs="Arial"/>
          <w:sz w:val="24"/>
          <w:szCs w:val="24"/>
        </w:rPr>
        <w:t>, which is an increase of 12 compared to 2016/17</w:t>
      </w:r>
      <w:r w:rsidR="00BD41A9">
        <w:rPr>
          <w:rFonts w:ascii="Arial" w:hAnsi="Arial" w:cs="Arial"/>
          <w:sz w:val="24"/>
          <w:szCs w:val="24"/>
        </w:rPr>
        <w:br/>
      </w:r>
      <w:r w:rsidR="00BD41A9">
        <w:rPr>
          <w:rFonts w:ascii="Arial" w:hAnsi="Arial" w:cs="Arial"/>
          <w:sz w:val="24"/>
          <w:szCs w:val="24"/>
        </w:rPr>
        <w:br/>
      </w:r>
      <w:r w:rsidR="00BD41A9">
        <w:rPr>
          <w:rFonts w:ascii="Arial" w:hAnsi="Arial" w:cs="Arial"/>
          <w:sz w:val="24"/>
          <w:szCs w:val="24"/>
        </w:rPr>
        <w:br/>
      </w:r>
      <w:r w:rsidR="00BD41A9">
        <w:rPr>
          <w:rFonts w:ascii="Arial" w:hAnsi="Arial" w:cs="Arial"/>
          <w:sz w:val="24"/>
          <w:szCs w:val="24"/>
        </w:rPr>
        <w:br/>
      </w:r>
    </w:p>
    <w:tbl>
      <w:tblPr>
        <w:tblStyle w:val="TableGrid"/>
        <w:tblW w:w="0" w:type="auto"/>
        <w:shd w:val="clear" w:color="auto" w:fill="00ACE9"/>
        <w:tblLook w:val="04A0" w:firstRow="1" w:lastRow="0" w:firstColumn="1" w:lastColumn="0" w:noHBand="0" w:noVBand="1"/>
      </w:tblPr>
      <w:tblGrid>
        <w:gridCol w:w="9016"/>
      </w:tblGrid>
      <w:tr w:rsidR="007B7CDF" w:rsidRPr="008E2ACA" w:rsidTr="005A49A9">
        <w:tc>
          <w:tcPr>
            <w:tcW w:w="9016" w:type="dxa"/>
            <w:tcBorders>
              <w:top w:val="nil"/>
              <w:left w:val="nil"/>
              <w:bottom w:val="nil"/>
              <w:right w:val="nil"/>
            </w:tcBorders>
            <w:shd w:val="clear" w:color="auto" w:fill="00ACE9"/>
          </w:tcPr>
          <w:p w:rsidR="007B7CDF" w:rsidRPr="008E2ACA" w:rsidRDefault="007B7CDF" w:rsidP="002429C3">
            <w:pPr>
              <w:jc w:val="center"/>
              <w:rPr>
                <w:rFonts w:ascii="Arial" w:hAnsi="Arial" w:cs="Arial"/>
                <w:color w:val="FFFFFF" w:themeColor="background1"/>
                <w:sz w:val="24"/>
                <w:szCs w:val="24"/>
              </w:rPr>
            </w:pPr>
            <w:r w:rsidRPr="008E2ACA">
              <w:rPr>
                <w:rFonts w:ascii="Arial" w:hAnsi="Arial" w:cs="Arial"/>
                <w:b/>
                <w:color w:val="FFFFFF" w:themeColor="background1"/>
                <w:sz w:val="24"/>
                <w:szCs w:val="24"/>
              </w:rPr>
              <w:lastRenderedPageBreak/>
              <w:t>16-18</w:t>
            </w:r>
            <w:bookmarkStart w:id="4" w:name="Apprenticeship_Participation_Summary"/>
            <w:bookmarkEnd w:id="4"/>
            <w:r w:rsidRPr="008E2ACA">
              <w:rPr>
                <w:rFonts w:ascii="Arial" w:hAnsi="Arial" w:cs="Arial"/>
                <w:b/>
                <w:color w:val="FFFFFF" w:themeColor="background1"/>
                <w:sz w:val="24"/>
                <w:szCs w:val="24"/>
              </w:rPr>
              <w:t xml:space="preserve"> Appre</w:t>
            </w:r>
            <w:r w:rsidR="00E67AEB" w:rsidRPr="008E2ACA">
              <w:rPr>
                <w:rFonts w:ascii="Arial" w:hAnsi="Arial" w:cs="Arial"/>
                <w:b/>
                <w:color w:val="FFFFFF" w:themeColor="background1"/>
                <w:sz w:val="24"/>
                <w:szCs w:val="24"/>
              </w:rPr>
              <w:t xml:space="preserve">nticeship </w:t>
            </w:r>
            <w:r w:rsidR="002429C3">
              <w:rPr>
                <w:rFonts w:ascii="Arial" w:hAnsi="Arial" w:cs="Arial"/>
                <w:b/>
                <w:color w:val="FFFFFF" w:themeColor="background1"/>
                <w:sz w:val="24"/>
                <w:szCs w:val="24"/>
              </w:rPr>
              <w:t>Starts</w:t>
            </w:r>
            <w:r w:rsidR="00E67AEB" w:rsidRPr="008E2ACA">
              <w:rPr>
                <w:rFonts w:ascii="Arial" w:hAnsi="Arial" w:cs="Arial"/>
                <w:b/>
                <w:color w:val="FFFFFF" w:themeColor="background1"/>
                <w:sz w:val="24"/>
                <w:szCs w:val="24"/>
              </w:rPr>
              <w:t xml:space="preserve"> Summary</w:t>
            </w:r>
          </w:p>
        </w:tc>
      </w:tr>
    </w:tbl>
    <w:p w:rsidR="007B7CDF" w:rsidRPr="00820FFB" w:rsidRDefault="007B7CDF" w:rsidP="007B7CDF">
      <w:pPr>
        <w:spacing w:after="0"/>
        <w:rPr>
          <w:rFonts w:ascii="Arial" w:hAnsi="Arial" w:cs="Arial"/>
          <w:sz w:val="24"/>
          <w:szCs w:val="24"/>
        </w:rPr>
      </w:pPr>
    </w:p>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5103"/>
        <w:gridCol w:w="3260"/>
      </w:tblGrid>
      <w:tr w:rsidR="007B7CDF" w:rsidTr="00FF25B1">
        <w:trPr>
          <w:trHeight w:val="1096"/>
        </w:trPr>
        <w:tc>
          <w:tcPr>
            <w:tcW w:w="1277"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0B085761" wp14:editId="5A0CEBCB">
                  <wp:extent cx="648000" cy="648000"/>
                  <wp:effectExtent l="0" t="0" r="0" b="0"/>
                  <wp:docPr id="210" name="Picture 210" descr="universit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iversity-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3" w:type="dxa"/>
            <w:gridSpan w:val="2"/>
            <w:vAlign w:val="center"/>
          </w:tcPr>
          <w:p w:rsidR="007B7CDF" w:rsidRPr="004459C4" w:rsidRDefault="00136C49" w:rsidP="00FF25B1">
            <w:pPr>
              <w:rPr>
                <w:rFonts w:ascii="Arial" w:hAnsi="Arial" w:cs="Arial"/>
                <w:sz w:val="24"/>
                <w:szCs w:val="24"/>
              </w:rPr>
            </w:pPr>
            <w:r>
              <w:rPr>
                <w:rFonts w:ascii="Arial" w:hAnsi="Arial" w:cs="Arial"/>
                <w:sz w:val="24"/>
                <w:szCs w:val="24"/>
              </w:rPr>
              <w:t xml:space="preserve">In 2017/18, </w:t>
            </w:r>
            <w:r w:rsidR="00FF25B1">
              <w:rPr>
                <w:rFonts w:ascii="Arial" w:hAnsi="Arial" w:cs="Arial"/>
                <w:sz w:val="24"/>
                <w:szCs w:val="24"/>
              </w:rPr>
              <w:t xml:space="preserve">Lancashire residents have started </w:t>
            </w:r>
            <w:r>
              <w:rPr>
                <w:rFonts w:ascii="Arial" w:hAnsi="Arial" w:cs="Arial"/>
                <w:sz w:val="24"/>
                <w:szCs w:val="24"/>
              </w:rPr>
              <w:t xml:space="preserve">apprenticeships at </w:t>
            </w:r>
            <w:r w:rsidR="00E67AEB">
              <w:rPr>
                <w:rFonts w:ascii="Arial" w:hAnsi="Arial" w:cs="Arial"/>
                <w:sz w:val="24"/>
                <w:szCs w:val="24"/>
              </w:rPr>
              <w:t>201</w:t>
            </w:r>
            <w:r w:rsidR="007B7CDF" w:rsidRPr="004459C4">
              <w:rPr>
                <w:rFonts w:ascii="Arial" w:hAnsi="Arial" w:cs="Arial"/>
                <w:sz w:val="24"/>
                <w:szCs w:val="24"/>
              </w:rPr>
              <w:t xml:space="preserve"> providers.  The main providers are: </w:t>
            </w:r>
            <w:r w:rsidR="00E67AEB">
              <w:rPr>
                <w:rFonts w:ascii="Arial" w:hAnsi="Arial" w:cs="Arial"/>
                <w:sz w:val="24"/>
                <w:szCs w:val="24"/>
              </w:rPr>
              <w:t xml:space="preserve">Burnley College at </w:t>
            </w:r>
            <w:r w:rsidR="00440E78">
              <w:rPr>
                <w:rFonts w:ascii="Arial" w:hAnsi="Arial" w:cs="Arial"/>
                <w:sz w:val="24"/>
                <w:szCs w:val="24"/>
              </w:rPr>
              <w:t xml:space="preserve">8.6%, </w:t>
            </w:r>
            <w:r w:rsidR="007B7CDF">
              <w:rPr>
                <w:rFonts w:ascii="Arial" w:hAnsi="Arial" w:cs="Arial"/>
                <w:sz w:val="24"/>
                <w:szCs w:val="24"/>
              </w:rPr>
              <w:t xml:space="preserve">NLTG at </w:t>
            </w:r>
            <w:r w:rsidR="00440E78">
              <w:rPr>
                <w:rFonts w:ascii="Arial" w:hAnsi="Arial" w:cs="Arial"/>
                <w:sz w:val="24"/>
                <w:szCs w:val="24"/>
              </w:rPr>
              <w:t>8.2</w:t>
            </w:r>
            <w:r w:rsidR="007B7CDF">
              <w:rPr>
                <w:rFonts w:ascii="Arial" w:hAnsi="Arial" w:cs="Arial"/>
                <w:sz w:val="24"/>
                <w:szCs w:val="24"/>
              </w:rPr>
              <w:t>%</w:t>
            </w:r>
            <w:r w:rsidR="00440E78">
              <w:rPr>
                <w:rFonts w:ascii="Arial" w:hAnsi="Arial" w:cs="Arial"/>
                <w:sz w:val="24"/>
                <w:szCs w:val="24"/>
              </w:rPr>
              <w:t xml:space="preserve"> and </w:t>
            </w:r>
            <w:r w:rsidR="007B7CDF">
              <w:rPr>
                <w:rFonts w:ascii="Arial" w:hAnsi="Arial" w:cs="Arial"/>
                <w:sz w:val="24"/>
                <w:szCs w:val="24"/>
              </w:rPr>
              <w:t>Preston's College at 7.</w:t>
            </w:r>
            <w:r w:rsidR="00440E78">
              <w:rPr>
                <w:rFonts w:ascii="Arial" w:hAnsi="Arial" w:cs="Arial"/>
                <w:sz w:val="24"/>
                <w:szCs w:val="24"/>
              </w:rPr>
              <w:t>1</w:t>
            </w:r>
            <w:r w:rsidR="007B7CDF">
              <w:rPr>
                <w:rFonts w:ascii="Arial" w:hAnsi="Arial" w:cs="Arial"/>
                <w:sz w:val="24"/>
                <w:szCs w:val="24"/>
              </w:rPr>
              <w:t>%</w:t>
            </w:r>
          </w:p>
        </w:tc>
      </w:tr>
      <w:tr w:rsidR="00A75740" w:rsidRPr="00A75740" w:rsidTr="00FF25B1">
        <w:trPr>
          <w:trHeight w:val="70"/>
        </w:trPr>
        <w:tc>
          <w:tcPr>
            <w:tcW w:w="1277" w:type="dxa"/>
            <w:vAlign w:val="center"/>
          </w:tcPr>
          <w:p w:rsidR="00A75740" w:rsidRPr="00A75740" w:rsidRDefault="00A75740" w:rsidP="005A49A9">
            <w:pPr>
              <w:rPr>
                <w:rFonts w:ascii="Arial" w:hAnsi="Arial" w:cs="Arial"/>
                <w:noProof/>
                <w:sz w:val="8"/>
                <w:szCs w:val="8"/>
                <w:lang w:eastAsia="en-GB"/>
              </w:rPr>
            </w:pPr>
          </w:p>
        </w:tc>
        <w:tc>
          <w:tcPr>
            <w:tcW w:w="8363" w:type="dxa"/>
            <w:gridSpan w:val="2"/>
            <w:vAlign w:val="center"/>
          </w:tcPr>
          <w:p w:rsidR="00A75740" w:rsidRPr="00A75740" w:rsidRDefault="00A75740" w:rsidP="00440E78">
            <w:pPr>
              <w:rPr>
                <w:rFonts w:ascii="Arial" w:hAnsi="Arial" w:cs="Arial"/>
                <w:sz w:val="8"/>
                <w:szCs w:val="8"/>
              </w:rPr>
            </w:pPr>
          </w:p>
        </w:tc>
      </w:tr>
      <w:tr w:rsidR="007B7CDF" w:rsidTr="00FF25B1">
        <w:trPr>
          <w:trHeight w:val="1267"/>
        </w:trPr>
        <w:tc>
          <w:tcPr>
            <w:tcW w:w="1277"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3CBEB67E" wp14:editId="7B6BE140">
                  <wp:extent cx="648000" cy="648000"/>
                  <wp:effectExtent l="0" t="0" r="0" b="0"/>
                  <wp:docPr id="213" name="Picture 213" descr="sort-up-or-sort-down-couple-of-arrow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ort-up-or-sort-down-couple-of-arrows-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3" w:type="dxa"/>
            <w:gridSpan w:val="2"/>
            <w:vAlign w:val="center"/>
          </w:tcPr>
          <w:p w:rsidR="007B7CDF" w:rsidRPr="007031FA" w:rsidRDefault="007B7CDF" w:rsidP="007109D9">
            <w:pPr>
              <w:rPr>
                <w:rFonts w:ascii="Arial" w:hAnsi="Arial" w:cs="Arial"/>
                <w:sz w:val="24"/>
                <w:szCs w:val="24"/>
              </w:rPr>
            </w:pPr>
            <w:r>
              <w:rPr>
                <w:rFonts w:ascii="Arial" w:hAnsi="Arial" w:cs="Arial"/>
                <w:sz w:val="24"/>
                <w:szCs w:val="24"/>
              </w:rPr>
              <w:t>From 2016/17 to 2017/18, the main changes to where apprentices</w:t>
            </w:r>
            <w:r w:rsidR="00FF1A98">
              <w:rPr>
                <w:rFonts w:ascii="Arial" w:hAnsi="Arial" w:cs="Arial"/>
                <w:sz w:val="24"/>
                <w:szCs w:val="24"/>
              </w:rPr>
              <w:t>hips</w:t>
            </w:r>
            <w:r>
              <w:rPr>
                <w:rFonts w:ascii="Arial" w:hAnsi="Arial" w:cs="Arial"/>
                <w:sz w:val="24"/>
                <w:szCs w:val="24"/>
              </w:rPr>
              <w:t xml:space="preserve"> are </w:t>
            </w:r>
            <w:r w:rsidR="00FF1A98">
              <w:rPr>
                <w:rFonts w:ascii="Arial" w:hAnsi="Arial" w:cs="Arial"/>
                <w:sz w:val="24"/>
                <w:szCs w:val="24"/>
              </w:rPr>
              <w:t xml:space="preserve">being </w:t>
            </w:r>
            <w:r>
              <w:rPr>
                <w:rFonts w:ascii="Arial" w:hAnsi="Arial" w:cs="Arial"/>
                <w:sz w:val="24"/>
                <w:szCs w:val="24"/>
              </w:rPr>
              <w:t>access</w:t>
            </w:r>
            <w:r w:rsidR="00FF1A98">
              <w:rPr>
                <w:rFonts w:ascii="Arial" w:hAnsi="Arial" w:cs="Arial"/>
                <w:sz w:val="24"/>
                <w:szCs w:val="24"/>
              </w:rPr>
              <w:t>ed</w:t>
            </w:r>
            <w:r>
              <w:rPr>
                <w:rFonts w:ascii="Arial" w:hAnsi="Arial" w:cs="Arial"/>
                <w:sz w:val="24"/>
                <w:szCs w:val="24"/>
              </w:rPr>
              <w:t xml:space="preserve"> are: </w:t>
            </w:r>
            <w:r w:rsidR="00440E78">
              <w:rPr>
                <w:rFonts w:ascii="Arial" w:hAnsi="Arial" w:cs="Arial"/>
                <w:sz w:val="24"/>
                <w:szCs w:val="24"/>
              </w:rPr>
              <w:t xml:space="preserve">85 fewer </w:t>
            </w:r>
            <w:r w:rsidR="00136C49">
              <w:rPr>
                <w:rFonts w:ascii="Arial" w:hAnsi="Arial" w:cs="Arial"/>
                <w:sz w:val="24"/>
                <w:szCs w:val="24"/>
              </w:rPr>
              <w:t xml:space="preserve">starts </w:t>
            </w:r>
            <w:r w:rsidR="00440E78">
              <w:rPr>
                <w:rFonts w:ascii="Arial" w:hAnsi="Arial" w:cs="Arial"/>
                <w:sz w:val="24"/>
                <w:szCs w:val="24"/>
              </w:rPr>
              <w:t xml:space="preserve">at </w:t>
            </w:r>
            <w:proofErr w:type="spellStart"/>
            <w:r w:rsidR="00440E78">
              <w:rPr>
                <w:rFonts w:ascii="Arial" w:hAnsi="Arial" w:cs="Arial"/>
                <w:sz w:val="24"/>
                <w:szCs w:val="24"/>
              </w:rPr>
              <w:t>Learndirect</w:t>
            </w:r>
            <w:proofErr w:type="spellEnd"/>
            <w:r w:rsidR="00440E78">
              <w:rPr>
                <w:rFonts w:ascii="Arial" w:hAnsi="Arial" w:cs="Arial"/>
                <w:sz w:val="24"/>
                <w:szCs w:val="24"/>
              </w:rPr>
              <w:t xml:space="preserve"> Ltd to zero</w:t>
            </w:r>
            <w:r w:rsidR="007109D9">
              <w:rPr>
                <w:rFonts w:ascii="Arial" w:hAnsi="Arial" w:cs="Arial"/>
                <w:sz w:val="24"/>
                <w:szCs w:val="24"/>
              </w:rPr>
              <w:t>,</w:t>
            </w:r>
            <w:r w:rsidR="00440E78">
              <w:rPr>
                <w:rFonts w:ascii="Arial" w:hAnsi="Arial" w:cs="Arial"/>
                <w:sz w:val="24"/>
                <w:szCs w:val="24"/>
              </w:rPr>
              <w:t xml:space="preserve"> 62 fewer at Blackburn College</w:t>
            </w:r>
            <w:r w:rsidR="007109D9">
              <w:rPr>
                <w:rFonts w:ascii="Arial" w:hAnsi="Arial" w:cs="Arial"/>
                <w:sz w:val="24"/>
                <w:szCs w:val="24"/>
              </w:rPr>
              <w:t>,</w:t>
            </w:r>
            <w:r w:rsidR="00440E78">
              <w:rPr>
                <w:rFonts w:ascii="Arial" w:hAnsi="Arial" w:cs="Arial"/>
                <w:sz w:val="24"/>
                <w:szCs w:val="24"/>
              </w:rPr>
              <w:t xml:space="preserve"> 62 more </w:t>
            </w:r>
            <w:r>
              <w:rPr>
                <w:rFonts w:ascii="Arial" w:hAnsi="Arial" w:cs="Arial"/>
                <w:sz w:val="24"/>
                <w:szCs w:val="24"/>
              </w:rPr>
              <w:t>at Burnley College</w:t>
            </w:r>
            <w:r w:rsidR="007109D9">
              <w:rPr>
                <w:rFonts w:ascii="Arial" w:hAnsi="Arial" w:cs="Arial"/>
                <w:sz w:val="24"/>
                <w:szCs w:val="24"/>
              </w:rPr>
              <w:t>,</w:t>
            </w:r>
            <w:r>
              <w:rPr>
                <w:rFonts w:ascii="Arial" w:hAnsi="Arial" w:cs="Arial"/>
                <w:sz w:val="24"/>
                <w:szCs w:val="24"/>
              </w:rPr>
              <w:t xml:space="preserve"> </w:t>
            </w:r>
            <w:r w:rsidR="00440E78">
              <w:rPr>
                <w:rFonts w:ascii="Arial" w:hAnsi="Arial" w:cs="Arial"/>
                <w:sz w:val="24"/>
                <w:szCs w:val="24"/>
              </w:rPr>
              <w:t xml:space="preserve">56 </w:t>
            </w:r>
            <w:r>
              <w:rPr>
                <w:rFonts w:ascii="Arial" w:hAnsi="Arial" w:cs="Arial"/>
                <w:sz w:val="24"/>
                <w:szCs w:val="24"/>
              </w:rPr>
              <w:t xml:space="preserve">fewer at </w:t>
            </w:r>
            <w:r w:rsidR="00440E78">
              <w:rPr>
                <w:rFonts w:ascii="Arial" w:hAnsi="Arial" w:cs="Arial"/>
                <w:sz w:val="24"/>
                <w:szCs w:val="24"/>
              </w:rPr>
              <w:t>Training 2000 Ltd</w:t>
            </w:r>
            <w:r w:rsidR="007109D9">
              <w:rPr>
                <w:rFonts w:ascii="Arial" w:hAnsi="Arial" w:cs="Arial"/>
                <w:sz w:val="24"/>
                <w:szCs w:val="24"/>
              </w:rPr>
              <w:t>,</w:t>
            </w:r>
            <w:r w:rsidR="00440E78">
              <w:rPr>
                <w:rFonts w:ascii="Arial" w:hAnsi="Arial" w:cs="Arial"/>
                <w:sz w:val="24"/>
                <w:szCs w:val="24"/>
              </w:rPr>
              <w:t xml:space="preserve"> 48 fewer at Preston's </w:t>
            </w:r>
            <w:r>
              <w:rPr>
                <w:rFonts w:ascii="Arial" w:hAnsi="Arial" w:cs="Arial"/>
                <w:sz w:val="24"/>
                <w:szCs w:val="24"/>
              </w:rPr>
              <w:t>College</w:t>
            </w:r>
            <w:r w:rsidR="007109D9">
              <w:rPr>
                <w:rFonts w:ascii="Arial" w:hAnsi="Arial" w:cs="Arial"/>
                <w:sz w:val="24"/>
                <w:szCs w:val="24"/>
              </w:rPr>
              <w:t xml:space="preserve"> </w:t>
            </w:r>
            <w:r w:rsidR="00440E78">
              <w:rPr>
                <w:rFonts w:ascii="Arial" w:hAnsi="Arial" w:cs="Arial"/>
                <w:sz w:val="24"/>
                <w:szCs w:val="24"/>
              </w:rPr>
              <w:t>and 42 more at Nelson and Colne College</w:t>
            </w:r>
          </w:p>
        </w:tc>
      </w:tr>
      <w:tr w:rsidR="00A75740" w:rsidRPr="00A75740" w:rsidTr="00FF25B1">
        <w:trPr>
          <w:trHeight w:val="70"/>
        </w:trPr>
        <w:tc>
          <w:tcPr>
            <w:tcW w:w="1277" w:type="dxa"/>
            <w:vAlign w:val="center"/>
          </w:tcPr>
          <w:p w:rsidR="00A75740" w:rsidRPr="00A75740" w:rsidRDefault="00A75740" w:rsidP="005A49A9">
            <w:pPr>
              <w:rPr>
                <w:rFonts w:ascii="Arial" w:hAnsi="Arial" w:cs="Arial"/>
                <w:noProof/>
                <w:sz w:val="8"/>
                <w:szCs w:val="8"/>
                <w:lang w:eastAsia="en-GB"/>
              </w:rPr>
            </w:pPr>
          </w:p>
        </w:tc>
        <w:tc>
          <w:tcPr>
            <w:tcW w:w="8363" w:type="dxa"/>
            <w:gridSpan w:val="2"/>
            <w:vAlign w:val="center"/>
          </w:tcPr>
          <w:p w:rsidR="00A75740" w:rsidRPr="00A75740" w:rsidRDefault="00A75740" w:rsidP="00440E78">
            <w:pPr>
              <w:rPr>
                <w:rFonts w:ascii="Arial" w:hAnsi="Arial" w:cs="Arial"/>
                <w:sz w:val="8"/>
                <w:szCs w:val="8"/>
              </w:rPr>
            </w:pPr>
          </w:p>
        </w:tc>
      </w:tr>
      <w:tr w:rsidR="007B7CDF" w:rsidTr="00FF25B1">
        <w:trPr>
          <w:trHeight w:val="1130"/>
        </w:trPr>
        <w:tc>
          <w:tcPr>
            <w:tcW w:w="1277" w:type="dxa"/>
            <w:vAlign w:val="center"/>
          </w:tcPr>
          <w:p w:rsidR="007B7CDF" w:rsidRDefault="007B7CDF" w:rsidP="005A49A9">
            <w:pPr>
              <w:rPr>
                <w:noProof/>
                <w:lang w:eastAsia="en-GB"/>
              </w:rPr>
            </w:pPr>
            <w:r>
              <w:rPr>
                <w:noProof/>
                <w:lang w:eastAsia="en-GB"/>
              </w:rPr>
              <w:drawing>
                <wp:inline distT="0" distB="0" distL="0" distR="0" wp14:anchorId="74AD6083" wp14:editId="3A5C82FE">
                  <wp:extent cx="648000" cy="648000"/>
                  <wp:effectExtent l="0" t="0" r="0" b="0"/>
                  <wp:docPr id="212" name="Picture 212" descr="classmat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assmates-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3" w:type="dxa"/>
            <w:gridSpan w:val="2"/>
            <w:vAlign w:val="center"/>
          </w:tcPr>
          <w:p w:rsidR="007B7CDF" w:rsidRDefault="007B7CDF" w:rsidP="00026B56">
            <w:pPr>
              <w:rPr>
                <w:rFonts w:ascii="Arial" w:hAnsi="Arial" w:cs="Arial"/>
                <w:sz w:val="24"/>
                <w:szCs w:val="24"/>
              </w:rPr>
            </w:pPr>
            <w:r>
              <w:rPr>
                <w:rFonts w:ascii="Arial" w:hAnsi="Arial" w:cs="Arial"/>
                <w:sz w:val="24"/>
                <w:szCs w:val="24"/>
              </w:rPr>
              <w:t>6</w:t>
            </w:r>
            <w:r w:rsidR="00026B56">
              <w:rPr>
                <w:rFonts w:ascii="Arial" w:hAnsi="Arial" w:cs="Arial"/>
                <w:sz w:val="24"/>
                <w:szCs w:val="24"/>
              </w:rPr>
              <w:t>0</w:t>
            </w:r>
            <w:r>
              <w:rPr>
                <w:rFonts w:ascii="Arial" w:hAnsi="Arial" w:cs="Arial"/>
                <w:sz w:val="24"/>
                <w:szCs w:val="24"/>
              </w:rPr>
              <w:t>.0% of apprentices</w:t>
            </w:r>
            <w:r w:rsidR="00FF25B1">
              <w:rPr>
                <w:rFonts w:ascii="Arial" w:hAnsi="Arial" w:cs="Arial"/>
                <w:sz w:val="24"/>
                <w:szCs w:val="24"/>
              </w:rPr>
              <w:t>hip starts</w:t>
            </w:r>
            <w:r>
              <w:rPr>
                <w:rFonts w:ascii="Arial" w:hAnsi="Arial" w:cs="Arial"/>
                <w:sz w:val="24"/>
                <w:szCs w:val="24"/>
              </w:rPr>
              <w:t xml:space="preserve"> are male and </w:t>
            </w:r>
            <w:r w:rsidR="00026B56">
              <w:rPr>
                <w:rFonts w:ascii="Arial" w:hAnsi="Arial" w:cs="Arial"/>
                <w:sz w:val="24"/>
                <w:szCs w:val="24"/>
              </w:rPr>
              <w:t>40</w:t>
            </w:r>
            <w:r>
              <w:rPr>
                <w:rFonts w:ascii="Arial" w:hAnsi="Arial" w:cs="Arial"/>
                <w:sz w:val="24"/>
                <w:szCs w:val="24"/>
              </w:rPr>
              <w:t xml:space="preserve">.0% are female.  Compared to 2016/17, </w:t>
            </w:r>
            <w:r w:rsidR="00136C49">
              <w:rPr>
                <w:rFonts w:ascii="Arial" w:hAnsi="Arial" w:cs="Arial"/>
                <w:sz w:val="24"/>
                <w:szCs w:val="24"/>
              </w:rPr>
              <w:t xml:space="preserve">starts by </w:t>
            </w:r>
            <w:r>
              <w:rPr>
                <w:rFonts w:ascii="Arial" w:hAnsi="Arial" w:cs="Arial"/>
                <w:sz w:val="24"/>
                <w:szCs w:val="24"/>
              </w:rPr>
              <w:t xml:space="preserve">male apprentices have </w:t>
            </w:r>
            <w:r w:rsidR="00026B56">
              <w:rPr>
                <w:rFonts w:ascii="Arial" w:hAnsi="Arial" w:cs="Arial"/>
                <w:sz w:val="24"/>
                <w:szCs w:val="24"/>
              </w:rPr>
              <w:t xml:space="preserve">reduced by 364 and </w:t>
            </w:r>
            <w:r w:rsidR="00FF25B1">
              <w:rPr>
                <w:rFonts w:ascii="Arial" w:hAnsi="Arial" w:cs="Arial"/>
                <w:sz w:val="24"/>
                <w:szCs w:val="24"/>
              </w:rPr>
              <w:t xml:space="preserve">by </w:t>
            </w:r>
            <w:r w:rsidR="00026B56">
              <w:rPr>
                <w:rFonts w:ascii="Arial" w:hAnsi="Arial" w:cs="Arial"/>
                <w:sz w:val="24"/>
                <w:szCs w:val="24"/>
              </w:rPr>
              <w:t xml:space="preserve">females have </w:t>
            </w:r>
            <w:r>
              <w:rPr>
                <w:rFonts w:ascii="Arial" w:hAnsi="Arial" w:cs="Arial"/>
                <w:sz w:val="24"/>
                <w:szCs w:val="24"/>
              </w:rPr>
              <w:t xml:space="preserve">reduced by </w:t>
            </w:r>
            <w:r w:rsidR="00026B56">
              <w:rPr>
                <w:rFonts w:ascii="Arial" w:hAnsi="Arial" w:cs="Arial"/>
                <w:sz w:val="24"/>
                <w:szCs w:val="24"/>
              </w:rPr>
              <w:t>172</w:t>
            </w:r>
          </w:p>
        </w:tc>
      </w:tr>
      <w:tr w:rsidR="00A75740" w:rsidRPr="00A75740" w:rsidTr="00FF25B1">
        <w:trPr>
          <w:trHeight w:val="70"/>
        </w:trPr>
        <w:tc>
          <w:tcPr>
            <w:tcW w:w="1277" w:type="dxa"/>
            <w:vAlign w:val="center"/>
          </w:tcPr>
          <w:p w:rsidR="00A75740" w:rsidRPr="00A75740" w:rsidRDefault="00A75740" w:rsidP="005A49A9">
            <w:pPr>
              <w:rPr>
                <w:rFonts w:ascii="Arial" w:hAnsi="Arial" w:cs="Arial"/>
                <w:noProof/>
                <w:sz w:val="8"/>
                <w:szCs w:val="8"/>
                <w:lang w:eastAsia="en-GB"/>
              </w:rPr>
            </w:pPr>
          </w:p>
        </w:tc>
        <w:tc>
          <w:tcPr>
            <w:tcW w:w="8363" w:type="dxa"/>
            <w:gridSpan w:val="2"/>
            <w:vAlign w:val="center"/>
          </w:tcPr>
          <w:p w:rsidR="00A75740" w:rsidRPr="00A75740" w:rsidRDefault="00A75740" w:rsidP="00026B56">
            <w:pPr>
              <w:rPr>
                <w:rFonts w:ascii="Arial" w:hAnsi="Arial" w:cs="Arial"/>
                <w:sz w:val="8"/>
                <w:szCs w:val="8"/>
              </w:rPr>
            </w:pPr>
          </w:p>
        </w:tc>
      </w:tr>
      <w:tr w:rsidR="007B7CDF" w:rsidTr="00FF25B1">
        <w:trPr>
          <w:trHeight w:val="1118"/>
        </w:trPr>
        <w:tc>
          <w:tcPr>
            <w:tcW w:w="1277" w:type="dxa"/>
            <w:vAlign w:val="center"/>
          </w:tcPr>
          <w:p w:rsidR="007B7CDF" w:rsidRPr="007031FA" w:rsidRDefault="007B7CDF" w:rsidP="005A49A9">
            <w:pPr>
              <w:rPr>
                <w:rFonts w:ascii="Arial" w:hAnsi="Arial" w:cs="Arial"/>
                <w:sz w:val="24"/>
                <w:szCs w:val="24"/>
              </w:rPr>
            </w:pPr>
            <w:r>
              <w:rPr>
                <w:noProof/>
                <w:lang w:eastAsia="en-GB"/>
              </w:rPr>
              <w:drawing>
                <wp:inline distT="0" distB="0" distL="0" distR="0" wp14:anchorId="0A1A186D" wp14:editId="2627D262">
                  <wp:extent cx="648000" cy="648000"/>
                  <wp:effectExtent l="0" t="0" r="0" b="0"/>
                  <wp:docPr id="211" name="Picture 211" descr="microsco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icroscope-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3" w:type="dxa"/>
            <w:gridSpan w:val="2"/>
            <w:vAlign w:val="center"/>
          </w:tcPr>
          <w:p w:rsidR="007B7CDF" w:rsidRPr="007031FA" w:rsidRDefault="007B7CDF" w:rsidP="00FF25B1">
            <w:pPr>
              <w:rPr>
                <w:rFonts w:ascii="Arial" w:hAnsi="Arial" w:cs="Arial"/>
                <w:sz w:val="24"/>
                <w:szCs w:val="24"/>
              </w:rPr>
            </w:pPr>
            <w:r w:rsidRPr="002E516D">
              <w:rPr>
                <w:rFonts w:ascii="Arial" w:hAnsi="Arial" w:cs="Arial"/>
                <w:sz w:val="24"/>
                <w:szCs w:val="24"/>
              </w:rPr>
              <w:t xml:space="preserve">The main sectors being accessed by Lancashire residents are Engineering and Manufacturing at </w:t>
            </w:r>
            <w:r w:rsidR="00026B56">
              <w:rPr>
                <w:rFonts w:ascii="Arial" w:hAnsi="Arial" w:cs="Arial"/>
                <w:sz w:val="24"/>
                <w:szCs w:val="24"/>
              </w:rPr>
              <w:t>27.2</w:t>
            </w:r>
            <w:r w:rsidRPr="002E516D">
              <w:rPr>
                <w:rFonts w:ascii="Arial" w:hAnsi="Arial" w:cs="Arial"/>
                <w:sz w:val="24"/>
                <w:szCs w:val="24"/>
              </w:rPr>
              <w:t>%; Business, Admin and Law at 2</w:t>
            </w:r>
            <w:r w:rsidR="00026B56">
              <w:rPr>
                <w:rFonts w:ascii="Arial" w:hAnsi="Arial" w:cs="Arial"/>
                <w:sz w:val="24"/>
                <w:szCs w:val="24"/>
              </w:rPr>
              <w:t>1.0</w:t>
            </w:r>
            <w:r w:rsidRPr="002E516D">
              <w:rPr>
                <w:rFonts w:ascii="Arial" w:hAnsi="Arial" w:cs="Arial"/>
                <w:sz w:val="24"/>
                <w:szCs w:val="24"/>
              </w:rPr>
              <w:t>%; and Retail and Commercial Enterprise at 1</w:t>
            </w:r>
            <w:r w:rsidR="00026B56">
              <w:rPr>
                <w:rFonts w:ascii="Arial" w:hAnsi="Arial" w:cs="Arial"/>
                <w:sz w:val="24"/>
                <w:szCs w:val="24"/>
              </w:rPr>
              <w:t>6.7</w:t>
            </w:r>
            <w:r w:rsidRPr="002E516D">
              <w:rPr>
                <w:rFonts w:ascii="Arial" w:hAnsi="Arial" w:cs="Arial"/>
                <w:sz w:val="24"/>
                <w:szCs w:val="24"/>
              </w:rPr>
              <w:t>%</w:t>
            </w:r>
          </w:p>
        </w:tc>
      </w:tr>
      <w:tr w:rsidR="00FF25B1" w:rsidRPr="00FF25B1" w:rsidTr="00FF25B1">
        <w:trPr>
          <w:trHeight w:val="77"/>
        </w:trPr>
        <w:tc>
          <w:tcPr>
            <w:tcW w:w="1277" w:type="dxa"/>
            <w:vAlign w:val="center"/>
          </w:tcPr>
          <w:p w:rsidR="00FF25B1" w:rsidRPr="00FF25B1" w:rsidRDefault="00FF25B1" w:rsidP="005A49A9">
            <w:pPr>
              <w:rPr>
                <w:rFonts w:ascii="Arial" w:hAnsi="Arial" w:cs="Arial"/>
                <w:noProof/>
                <w:sz w:val="8"/>
                <w:szCs w:val="8"/>
                <w:lang w:eastAsia="en-GB"/>
              </w:rPr>
            </w:pPr>
          </w:p>
        </w:tc>
        <w:tc>
          <w:tcPr>
            <w:tcW w:w="8363" w:type="dxa"/>
            <w:gridSpan w:val="2"/>
            <w:vAlign w:val="center"/>
          </w:tcPr>
          <w:p w:rsidR="00FF25B1" w:rsidRPr="00FF25B1" w:rsidRDefault="00FF25B1" w:rsidP="005A49A9">
            <w:pPr>
              <w:rPr>
                <w:rFonts w:ascii="Arial" w:hAnsi="Arial" w:cs="Arial"/>
                <w:sz w:val="8"/>
                <w:szCs w:val="8"/>
              </w:rPr>
            </w:pPr>
          </w:p>
        </w:tc>
      </w:tr>
      <w:tr w:rsidR="00FF25B1" w:rsidTr="00FF25B1">
        <w:trPr>
          <w:trHeight w:val="1118"/>
        </w:trPr>
        <w:tc>
          <w:tcPr>
            <w:tcW w:w="1277" w:type="dxa"/>
            <w:vAlign w:val="center"/>
          </w:tcPr>
          <w:p w:rsidR="00FF25B1" w:rsidRDefault="00FF25B1" w:rsidP="005A49A9">
            <w:pPr>
              <w:rPr>
                <w:noProof/>
                <w:lang w:eastAsia="en-GB"/>
              </w:rPr>
            </w:pPr>
            <w:r>
              <w:rPr>
                <w:noProof/>
                <w:lang w:eastAsia="en-GB"/>
              </w:rPr>
              <w:drawing>
                <wp:inline distT="0" distB="0" distL="0" distR="0" wp14:anchorId="4C7325C3" wp14:editId="787C772A">
                  <wp:extent cx="648000" cy="648000"/>
                  <wp:effectExtent l="0" t="0" r="0" b="0"/>
                  <wp:docPr id="807" name="Picture 807" descr="medical-history-01"/>
                  <wp:cNvGraphicFramePr/>
                  <a:graphic xmlns:a="http://schemas.openxmlformats.org/drawingml/2006/main">
                    <a:graphicData uri="http://schemas.openxmlformats.org/drawingml/2006/picture">
                      <pic:pic xmlns:pic="http://schemas.openxmlformats.org/drawingml/2006/picture">
                        <pic:nvPicPr>
                          <pic:cNvPr id="807" name="Picture 807" descr="medical-history-0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8363" w:type="dxa"/>
            <w:gridSpan w:val="2"/>
            <w:vAlign w:val="center"/>
          </w:tcPr>
          <w:p w:rsidR="00FF25B1" w:rsidRPr="00FF25B1" w:rsidRDefault="00FF25B1" w:rsidP="00FF25B1">
            <w:pPr>
              <w:rPr>
                <w:rFonts w:ascii="Arial" w:hAnsi="Arial" w:cs="Arial"/>
                <w:sz w:val="24"/>
                <w:szCs w:val="24"/>
              </w:rPr>
            </w:pPr>
            <w:r w:rsidRPr="00FF25B1">
              <w:rPr>
                <w:rFonts w:ascii="Arial" w:hAnsi="Arial" w:cs="Arial"/>
                <w:sz w:val="24"/>
                <w:szCs w:val="24"/>
              </w:rPr>
              <w:t>1</w:t>
            </w:r>
            <w:r>
              <w:rPr>
                <w:rFonts w:ascii="Arial" w:hAnsi="Arial" w:cs="Arial"/>
                <w:sz w:val="24"/>
                <w:szCs w:val="24"/>
              </w:rPr>
              <w:t>2.4</w:t>
            </w:r>
            <w:r w:rsidRPr="00FF25B1">
              <w:rPr>
                <w:rFonts w:ascii="Arial" w:hAnsi="Arial" w:cs="Arial"/>
                <w:sz w:val="24"/>
                <w:szCs w:val="24"/>
              </w:rPr>
              <w:t>% of apprenticeship starts consider themselves to have a learning difficulty and/or disability and/or health problem</w:t>
            </w:r>
          </w:p>
        </w:tc>
      </w:tr>
      <w:tr w:rsidR="007B7CDF" w:rsidTr="00FF25B1">
        <w:tc>
          <w:tcPr>
            <w:tcW w:w="6380" w:type="dxa"/>
            <w:gridSpan w:val="2"/>
            <w:vAlign w:val="center"/>
          </w:tcPr>
          <w:p w:rsidR="007B7CDF" w:rsidRPr="007A0AE8" w:rsidRDefault="00B72F67" w:rsidP="005A49A9">
            <w:pPr>
              <w:rPr>
                <w:rFonts w:ascii="Arial" w:hAnsi="Arial" w:cs="Arial"/>
                <w:color w:val="00ACE9"/>
                <w:sz w:val="24"/>
                <w:szCs w:val="24"/>
              </w:rPr>
            </w:pPr>
            <w:r>
              <w:rPr>
                <w:noProof/>
                <w:lang w:eastAsia="en-GB"/>
              </w:rPr>
              <w:drawing>
                <wp:inline distT="0" distB="0" distL="0" distR="0" wp14:anchorId="30659BDF" wp14:editId="3BD85506">
                  <wp:extent cx="3886200" cy="2085975"/>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3260" w:type="dxa"/>
            <w:vAlign w:val="center"/>
          </w:tcPr>
          <w:p w:rsidR="007B7CDF" w:rsidRDefault="007B7CDF" w:rsidP="00FF1A98">
            <w:pPr>
              <w:pStyle w:val="ListParagraph"/>
              <w:ind w:left="0"/>
              <w:rPr>
                <w:rFonts w:ascii="Arial" w:hAnsi="Arial" w:cs="Arial"/>
                <w:b/>
                <w:sz w:val="24"/>
                <w:szCs w:val="24"/>
              </w:rPr>
            </w:pPr>
            <w:r w:rsidRPr="007A0AE8">
              <w:rPr>
                <w:rFonts w:ascii="Arial" w:hAnsi="Arial" w:cs="Arial"/>
                <w:sz w:val="24"/>
                <w:szCs w:val="24"/>
              </w:rPr>
              <w:t xml:space="preserve">Compared to 2016/17, </w:t>
            </w:r>
            <w:r w:rsidR="00FF1A98">
              <w:rPr>
                <w:rFonts w:ascii="Arial" w:hAnsi="Arial" w:cs="Arial"/>
                <w:sz w:val="24"/>
                <w:szCs w:val="24"/>
              </w:rPr>
              <w:t xml:space="preserve">there are </w:t>
            </w:r>
            <w:r w:rsidR="007A0AE8" w:rsidRPr="007A0AE8">
              <w:rPr>
                <w:rFonts w:ascii="Arial" w:hAnsi="Arial" w:cs="Arial"/>
                <w:sz w:val="24"/>
                <w:szCs w:val="24"/>
              </w:rPr>
              <w:t>55 more apprentices</w:t>
            </w:r>
            <w:r w:rsidR="00136C49">
              <w:rPr>
                <w:rFonts w:ascii="Arial" w:hAnsi="Arial" w:cs="Arial"/>
                <w:sz w:val="24"/>
                <w:szCs w:val="24"/>
              </w:rPr>
              <w:t>hip</w:t>
            </w:r>
            <w:r w:rsidR="00FF1A98">
              <w:rPr>
                <w:rFonts w:ascii="Arial" w:hAnsi="Arial" w:cs="Arial"/>
                <w:sz w:val="24"/>
                <w:szCs w:val="24"/>
              </w:rPr>
              <w:t xml:space="preserve"> starts </w:t>
            </w:r>
            <w:r w:rsidR="007A0AE8" w:rsidRPr="007A0AE8">
              <w:rPr>
                <w:rFonts w:ascii="Arial" w:hAnsi="Arial" w:cs="Arial"/>
                <w:sz w:val="24"/>
                <w:szCs w:val="24"/>
              </w:rPr>
              <w:t>at Higher level, 460 fewer at Intermediate level and 131 fewer at Advanced level</w:t>
            </w:r>
          </w:p>
        </w:tc>
      </w:tr>
      <w:tr w:rsidR="007B7CDF" w:rsidTr="00FF25B1">
        <w:tc>
          <w:tcPr>
            <w:tcW w:w="6380" w:type="dxa"/>
            <w:gridSpan w:val="2"/>
            <w:vAlign w:val="center"/>
          </w:tcPr>
          <w:p w:rsidR="007B7CDF" w:rsidRDefault="007A0AE8" w:rsidP="005A49A9">
            <w:pPr>
              <w:rPr>
                <w:rFonts w:ascii="Arial" w:hAnsi="Arial" w:cs="Arial"/>
                <w:sz w:val="24"/>
                <w:szCs w:val="24"/>
              </w:rPr>
            </w:pPr>
            <w:r>
              <w:rPr>
                <w:noProof/>
                <w:lang w:eastAsia="en-GB"/>
              </w:rPr>
              <w:drawing>
                <wp:inline distT="0" distB="0" distL="0" distR="0" wp14:anchorId="0BA37312" wp14:editId="431EE93E">
                  <wp:extent cx="3324225" cy="18669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3260" w:type="dxa"/>
            <w:vAlign w:val="center"/>
          </w:tcPr>
          <w:p w:rsidR="007B7CDF" w:rsidRPr="0023002C" w:rsidRDefault="007B7CDF" w:rsidP="0023002C">
            <w:pPr>
              <w:pStyle w:val="ListParagraph"/>
              <w:ind w:left="0"/>
              <w:rPr>
                <w:rFonts w:ascii="Arial" w:hAnsi="Arial" w:cs="Arial"/>
                <w:sz w:val="24"/>
                <w:szCs w:val="24"/>
              </w:rPr>
            </w:pPr>
            <w:r w:rsidRPr="0023002C">
              <w:rPr>
                <w:rFonts w:ascii="Arial" w:hAnsi="Arial" w:cs="Arial"/>
                <w:sz w:val="24"/>
                <w:szCs w:val="24"/>
              </w:rPr>
              <w:t xml:space="preserve">Compared to 2016/17, </w:t>
            </w:r>
            <w:r w:rsidR="007A0AE8" w:rsidRPr="0023002C">
              <w:rPr>
                <w:rFonts w:ascii="Arial" w:hAnsi="Arial" w:cs="Arial"/>
                <w:sz w:val="24"/>
                <w:szCs w:val="24"/>
              </w:rPr>
              <w:t xml:space="preserve">participation has reduced </w:t>
            </w:r>
            <w:r w:rsidR="0023002C" w:rsidRPr="0023002C">
              <w:rPr>
                <w:rFonts w:ascii="Arial" w:hAnsi="Arial" w:cs="Arial"/>
                <w:sz w:val="24"/>
                <w:szCs w:val="24"/>
              </w:rPr>
              <w:t xml:space="preserve">for 16, 17 and 18 year olds </w:t>
            </w:r>
            <w:r w:rsidR="007A0AE8" w:rsidRPr="0023002C">
              <w:rPr>
                <w:rFonts w:ascii="Arial" w:hAnsi="Arial" w:cs="Arial"/>
                <w:sz w:val="24"/>
                <w:szCs w:val="24"/>
              </w:rPr>
              <w:t xml:space="preserve">by </w:t>
            </w:r>
            <w:r w:rsidR="0023002C" w:rsidRPr="0023002C">
              <w:rPr>
                <w:rFonts w:ascii="Arial" w:hAnsi="Arial" w:cs="Arial"/>
                <w:sz w:val="24"/>
                <w:szCs w:val="24"/>
              </w:rPr>
              <w:t>79</w:t>
            </w:r>
            <w:r w:rsidR="007A0AE8" w:rsidRPr="0023002C">
              <w:rPr>
                <w:rFonts w:ascii="Arial" w:hAnsi="Arial" w:cs="Arial"/>
                <w:sz w:val="24"/>
                <w:szCs w:val="24"/>
              </w:rPr>
              <w:t xml:space="preserve">, </w:t>
            </w:r>
            <w:r w:rsidR="0023002C" w:rsidRPr="0023002C">
              <w:rPr>
                <w:rFonts w:ascii="Arial" w:hAnsi="Arial" w:cs="Arial"/>
                <w:sz w:val="24"/>
                <w:szCs w:val="24"/>
              </w:rPr>
              <w:t>274</w:t>
            </w:r>
            <w:r w:rsidR="007A0AE8" w:rsidRPr="0023002C">
              <w:rPr>
                <w:rFonts w:ascii="Arial" w:hAnsi="Arial" w:cs="Arial"/>
                <w:sz w:val="24"/>
                <w:szCs w:val="24"/>
              </w:rPr>
              <w:t xml:space="preserve"> and </w:t>
            </w:r>
            <w:r w:rsidR="0023002C" w:rsidRPr="0023002C">
              <w:rPr>
                <w:rFonts w:ascii="Arial" w:hAnsi="Arial" w:cs="Arial"/>
                <w:sz w:val="24"/>
                <w:szCs w:val="24"/>
              </w:rPr>
              <w:t>183</w:t>
            </w:r>
            <w:r w:rsidR="007A0AE8" w:rsidRPr="0023002C">
              <w:rPr>
                <w:rFonts w:ascii="Arial" w:hAnsi="Arial" w:cs="Arial"/>
                <w:sz w:val="24"/>
                <w:szCs w:val="24"/>
              </w:rPr>
              <w:t xml:space="preserve"> apprentices</w:t>
            </w:r>
            <w:r w:rsidR="00FF1A98">
              <w:rPr>
                <w:rFonts w:ascii="Arial" w:hAnsi="Arial" w:cs="Arial"/>
                <w:sz w:val="24"/>
                <w:szCs w:val="24"/>
              </w:rPr>
              <w:t>hip starts</w:t>
            </w:r>
            <w:r w:rsidR="007A0AE8" w:rsidRPr="0023002C">
              <w:rPr>
                <w:rFonts w:ascii="Arial" w:hAnsi="Arial" w:cs="Arial"/>
                <w:sz w:val="24"/>
                <w:szCs w:val="24"/>
              </w:rPr>
              <w:t xml:space="preserve"> respectively</w:t>
            </w:r>
          </w:p>
        </w:tc>
      </w:tr>
      <w:tr w:rsidR="007B7CDF" w:rsidTr="00FF25B1">
        <w:trPr>
          <w:trHeight w:val="3506"/>
        </w:trPr>
        <w:tc>
          <w:tcPr>
            <w:tcW w:w="6380" w:type="dxa"/>
            <w:gridSpan w:val="2"/>
            <w:vAlign w:val="center"/>
          </w:tcPr>
          <w:p w:rsidR="007B7CDF" w:rsidRDefault="005925BC" w:rsidP="005A49A9">
            <w:pPr>
              <w:rPr>
                <w:rFonts w:ascii="Arial" w:hAnsi="Arial" w:cs="Arial"/>
                <w:sz w:val="24"/>
                <w:szCs w:val="24"/>
              </w:rPr>
            </w:pPr>
            <w:r>
              <w:rPr>
                <w:noProof/>
                <w:lang w:eastAsia="en-GB"/>
              </w:rPr>
              <w:lastRenderedPageBreak/>
              <w:drawing>
                <wp:inline distT="0" distB="0" distL="0" distR="0" wp14:anchorId="645CD2D0" wp14:editId="140146E8">
                  <wp:extent cx="4067175" cy="2343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3260" w:type="dxa"/>
            <w:vAlign w:val="center"/>
          </w:tcPr>
          <w:p w:rsidR="007B7CDF" w:rsidRPr="00466466" w:rsidRDefault="007B7CDF" w:rsidP="00466466">
            <w:pPr>
              <w:pStyle w:val="ListParagraph"/>
              <w:ind w:left="0"/>
              <w:rPr>
                <w:rFonts w:ascii="Arial" w:hAnsi="Arial" w:cs="Arial"/>
                <w:b/>
                <w:sz w:val="24"/>
                <w:szCs w:val="24"/>
              </w:rPr>
            </w:pPr>
            <w:r w:rsidRPr="00466466">
              <w:rPr>
                <w:rFonts w:ascii="Arial" w:hAnsi="Arial" w:cs="Arial"/>
                <w:sz w:val="24"/>
                <w:szCs w:val="24"/>
              </w:rPr>
              <w:t xml:space="preserve">Compared to 2016/17, there are </w:t>
            </w:r>
            <w:r w:rsidR="00466466" w:rsidRPr="00466466">
              <w:rPr>
                <w:rFonts w:ascii="Arial" w:hAnsi="Arial" w:cs="Arial"/>
                <w:sz w:val="24"/>
                <w:szCs w:val="24"/>
              </w:rPr>
              <w:t>484</w:t>
            </w:r>
            <w:r w:rsidRPr="00466466">
              <w:rPr>
                <w:rFonts w:ascii="Arial" w:hAnsi="Arial" w:cs="Arial"/>
                <w:sz w:val="24"/>
                <w:szCs w:val="24"/>
              </w:rPr>
              <w:t xml:space="preserve"> fewer apprentices</w:t>
            </w:r>
            <w:r w:rsidR="00136C49">
              <w:rPr>
                <w:rFonts w:ascii="Arial" w:hAnsi="Arial" w:cs="Arial"/>
                <w:sz w:val="24"/>
                <w:szCs w:val="24"/>
              </w:rPr>
              <w:t>hip starts</w:t>
            </w:r>
            <w:r w:rsidR="00466466" w:rsidRPr="00466466">
              <w:rPr>
                <w:rFonts w:ascii="Arial" w:hAnsi="Arial" w:cs="Arial"/>
                <w:sz w:val="24"/>
                <w:szCs w:val="24"/>
              </w:rPr>
              <w:t xml:space="preserve"> from a White background and 37 fewer from an Asian background</w:t>
            </w:r>
          </w:p>
        </w:tc>
      </w:tr>
    </w:tbl>
    <w:p w:rsidR="007B7CDF" w:rsidRPr="00820FFB" w:rsidRDefault="007B7CDF" w:rsidP="007B7CDF">
      <w:pPr>
        <w:spacing w:after="0"/>
        <w:rPr>
          <w:rFonts w:ascii="Arial" w:hAnsi="Arial" w:cs="Arial"/>
          <w:sz w:val="24"/>
          <w:szCs w:val="24"/>
        </w:rPr>
      </w:pPr>
    </w:p>
    <w:tbl>
      <w:tblPr>
        <w:tblStyle w:val="TableGrid"/>
        <w:tblW w:w="0" w:type="auto"/>
        <w:shd w:val="clear" w:color="auto" w:fill="00ACE9"/>
        <w:tblLook w:val="04A0" w:firstRow="1" w:lastRow="0" w:firstColumn="1" w:lastColumn="0" w:noHBand="0" w:noVBand="1"/>
      </w:tblPr>
      <w:tblGrid>
        <w:gridCol w:w="9016"/>
      </w:tblGrid>
      <w:tr w:rsidR="007B7CDF" w:rsidRPr="008E2ACA" w:rsidTr="005A49A9">
        <w:tc>
          <w:tcPr>
            <w:tcW w:w="9016" w:type="dxa"/>
            <w:tcBorders>
              <w:top w:val="nil"/>
              <w:left w:val="nil"/>
              <w:bottom w:val="nil"/>
              <w:right w:val="nil"/>
            </w:tcBorders>
            <w:shd w:val="clear" w:color="auto" w:fill="00ACE9"/>
          </w:tcPr>
          <w:p w:rsidR="007B7CDF" w:rsidRPr="008E2ACA" w:rsidRDefault="007B7CDF" w:rsidP="005A49A9">
            <w:pPr>
              <w:pStyle w:val="ListParagraph"/>
              <w:ind w:left="0"/>
              <w:jc w:val="center"/>
              <w:rPr>
                <w:rFonts w:ascii="Arial" w:hAnsi="Arial" w:cs="Arial"/>
                <w:b/>
                <w:color w:val="FFFFFF" w:themeColor="background1"/>
                <w:sz w:val="24"/>
                <w:szCs w:val="24"/>
              </w:rPr>
            </w:pPr>
            <w:r w:rsidRPr="008E2ACA">
              <w:rPr>
                <w:rFonts w:ascii="Arial" w:eastAsia="Times New Roman" w:hAnsi="Arial" w:cs="Arial"/>
                <w:b/>
                <w:color w:val="FFFFFF" w:themeColor="background1"/>
                <w:sz w:val="24"/>
                <w:szCs w:val="24"/>
              </w:rPr>
              <w:t>Level 2 and Level 3 A</w:t>
            </w:r>
            <w:bookmarkStart w:id="5" w:name="L2_and_L3_Attainment_at_age_19"/>
            <w:bookmarkEnd w:id="5"/>
            <w:r w:rsidRPr="008E2ACA">
              <w:rPr>
                <w:rFonts w:ascii="Arial" w:eastAsia="Times New Roman" w:hAnsi="Arial" w:cs="Arial"/>
                <w:b/>
                <w:color w:val="FFFFFF" w:themeColor="background1"/>
                <w:sz w:val="24"/>
                <w:szCs w:val="24"/>
              </w:rPr>
              <w:t>ttainment at age 19</w:t>
            </w:r>
          </w:p>
        </w:tc>
      </w:tr>
    </w:tbl>
    <w:p w:rsidR="00820FFB" w:rsidRDefault="00820FFB" w:rsidP="007B7CDF">
      <w:pPr>
        <w:spacing w:after="0"/>
        <w:rPr>
          <w:rFonts w:ascii="Arial" w:hAnsi="Arial" w:cs="Arial"/>
          <w:sz w:val="24"/>
          <w:szCs w:val="24"/>
        </w:rPr>
      </w:pPr>
    </w:p>
    <w:p w:rsidR="007B7CDF" w:rsidRPr="009D3600" w:rsidRDefault="007B7CDF" w:rsidP="007B7CDF">
      <w:pPr>
        <w:spacing w:after="0"/>
        <w:rPr>
          <w:rFonts w:ascii="Arial" w:hAnsi="Arial" w:cs="Arial"/>
          <w:sz w:val="24"/>
          <w:szCs w:val="24"/>
        </w:rPr>
      </w:pPr>
      <w:r w:rsidRPr="009D3600">
        <w:rPr>
          <w:rFonts w:ascii="Arial" w:hAnsi="Arial" w:cs="Arial"/>
          <w:sz w:val="24"/>
          <w:szCs w:val="24"/>
        </w:rPr>
        <w:t>The following tables show how Lancashire compares with both the region and the country in relation to attainment at age 19, with actual numbers of young people in brackets:</w:t>
      </w:r>
    </w:p>
    <w:p w:rsidR="007B7CDF" w:rsidRPr="009D3600" w:rsidRDefault="007B7CDF" w:rsidP="007B7CDF">
      <w:pPr>
        <w:spacing w:after="0"/>
        <w:rPr>
          <w:rFonts w:ascii="Arial" w:hAnsi="Arial" w:cs="Arial"/>
          <w:sz w:val="24"/>
          <w:szCs w:val="24"/>
        </w:rPr>
      </w:pPr>
    </w:p>
    <w:tbl>
      <w:tblPr>
        <w:tblW w:w="9072" w:type="dxa"/>
        <w:tblLayout w:type="fixed"/>
        <w:tblLook w:val="04A0" w:firstRow="1" w:lastRow="0" w:firstColumn="1" w:lastColumn="0" w:noHBand="0" w:noVBand="1"/>
      </w:tblPr>
      <w:tblGrid>
        <w:gridCol w:w="1418"/>
        <w:gridCol w:w="1276"/>
        <w:gridCol w:w="1275"/>
        <w:gridCol w:w="1134"/>
        <w:gridCol w:w="1276"/>
        <w:gridCol w:w="1276"/>
        <w:gridCol w:w="1417"/>
      </w:tblGrid>
      <w:tr w:rsidR="007B7CDF" w:rsidRPr="008E2ACA" w:rsidTr="00A601A4">
        <w:tc>
          <w:tcPr>
            <w:tcW w:w="9072" w:type="dxa"/>
            <w:gridSpan w:val="7"/>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Young people achieving level 2 by the age of 19, by FSM eligibility</w:t>
            </w:r>
          </w:p>
        </w:tc>
      </w:tr>
      <w:tr w:rsidR="007B7CDF" w:rsidRPr="006E2242" w:rsidTr="00A601A4">
        <w:tc>
          <w:tcPr>
            <w:tcW w:w="1418" w:type="dxa"/>
            <w:vMerge w:val="restart"/>
            <w:shd w:val="clear" w:color="auto" w:fill="575756"/>
          </w:tcPr>
          <w:p w:rsidR="007B7CDF" w:rsidRPr="006E2242" w:rsidRDefault="007B7CDF" w:rsidP="005A49A9">
            <w:pPr>
              <w:spacing w:after="0"/>
              <w:rPr>
                <w:rFonts w:ascii="Arial" w:hAnsi="Arial" w:cs="Arial"/>
                <w:sz w:val="24"/>
                <w:szCs w:val="24"/>
              </w:rPr>
            </w:pPr>
          </w:p>
        </w:tc>
        <w:tc>
          <w:tcPr>
            <w:tcW w:w="2551" w:type="dxa"/>
            <w:gridSpan w:val="2"/>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All</w:t>
            </w:r>
          </w:p>
        </w:tc>
        <w:tc>
          <w:tcPr>
            <w:tcW w:w="2410" w:type="dxa"/>
            <w:gridSpan w:val="2"/>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Eligible for FSM</w:t>
            </w:r>
          </w:p>
        </w:tc>
        <w:tc>
          <w:tcPr>
            <w:tcW w:w="2693" w:type="dxa"/>
            <w:gridSpan w:val="2"/>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Not Eligible for FSM</w:t>
            </w:r>
          </w:p>
        </w:tc>
      </w:tr>
      <w:tr w:rsidR="007B7CDF" w:rsidRPr="006E2242" w:rsidTr="00A601A4">
        <w:tc>
          <w:tcPr>
            <w:tcW w:w="1418" w:type="dxa"/>
            <w:vMerge/>
            <w:shd w:val="clear" w:color="auto" w:fill="575756"/>
          </w:tcPr>
          <w:p w:rsidR="007B7CDF" w:rsidRPr="006E2242" w:rsidRDefault="007B7CDF" w:rsidP="005A49A9">
            <w:pPr>
              <w:spacing w:after="0"/>
              <w:rPr>
                <w:rFonts w:ascii="Arial" w:hAnsi="Arial" w:cs="Arial"/>
                <w:sz w:val="24"/>
                <w:szCs w:val="24"/>
              </w:rPr>
            </w:pPr>
          </w:p>
        </w:tc>
        <w:tc>
          <w:tcPr>
            <w:tcW w:w="1276" w:type="dxa"/>
            <w:shd w:val="clear" w:color="auto" w:fill="575756"/>
          </w:tcPr>
          <w:p w:rsidR="007B7CDF" w:rsidRPr="00257C2B" w:rsidRDefault="007B7CDF"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w:t>
            </w:r>
            <w:r w:rsidR="00257C2B" w:rsidRPr="00257C2B">
              <w:rPr>
                <w:rFonts w:ascii="Arial" w:hAnsi="Arial" w:cs="Arial"/>
                <w:color w:val="FFFFFF" w:themeColor="background1"/>
                <w:sz w:val="24"/>
                <w:szCs w:val="24"/>
              </w:rPr>
              <w:t>7</w:t>
            </w:r>
          </w:p>
        </w:tc>
        <w:tc>
          <w:tcPr>
            <w:tcW w:w="1275" w:type="dxa"/>
            <w:shd w:val="clear" w:color="auto" w:fill="575756"/>
          </w:tcPr>
          <w:p w:rsidR="007B7CDF" w:rsidRPr="00257C2B" w:rsidRDefault="007B7CDF"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w:t>
            </w:r>
            <w:r w:rsidR="00257C2B" w:rsidRPr="00257C2B">
              <w:rPr>
                <w:rFonts w:ascii="Arial" w:hAnsi="Arial" w:cs="Arial"/>
                <w:color w:val="FFFFFF" w:themeColor="background1"/>
                <w:sz w:val="24"/>
                <w:szCs w:val="24"/>
              </w:rPr>
              <w:t>8</w:t>
            </w:r>
          </w:p>
        </w:tc>
        <w:tc>
          <w:tcPr>
            <w:tcW w:w="1134" w:type="dxa"/>
            <w:shd w:val="clear" w:color="auto" w:fill="575756"/>
          </w:tcPr>
          <w:p w:rsidR="007B7CDF" w:rsidRPr="00257C2B" w:rsidRDefault="007B7CDF"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w:t>
            </w:r>
            <w:r w:rsidR="00257C2B" w:rsidRPr="00257C2B">
              <w:rPr>
                <w:rFonts w:ascii="Arial" w:hAnsi="Arial" w:cs="Arial"/>
                <w:color w:val="FFFFFF" w:themeColor="background1"/>
                <w:sz w:val="24"/>
                <w:szCs w:val="24"/>
              </w:rPr>
              <w:t>7</w:t>
            </w:r>
          </w:p>
        </w:tc>
        <w:tc>
          <w:tcPr>
            <w:tcW w:w="1276" w:type="dxa"/>
            <w:shd w:val="clear" w:color="auto" w:fill="575756"/>
          </w:tcPr>
          <w:p w:rsidR="007B7CDF" w:rsidRPr="00257C2B" w:rsidRDefault="007B7CDF"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w:t>
            </w:r>
            <w:r w:rsidR="00257C2B" w:rsidRPr="00257C2B">
              <w:rPr>
                <w:rFonts w:ascii="Arial" w:hAnsi="Arial" w:cs="Arial"/>
                <w:color w:val="FFFFFF" w:themeColor="background1"/>
                <w:sz w:val="24"/>
                <w:szCs w:val="24"/>
              </w:rPr>
              <w:t>8</w:t>
            </w:r>
          </w:p>
        </w:tc>
        <w:tc>
          <w:tcPr>
            <w:tcW w:w="1276" w:type="dxa"/>
            <w:shd w:val="clear" w:color="auto" w:fill="575756"/>
          </w:tcPr>
          <w:p w:rsidR="007B7CDF" w:rsidRPr="00257C2B" w:rsidRDefault="007B7CDF"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w:t>
            </w:r>
            <w:r w:rsidR="00257C2B" w:rsidRPr="00257C2B">
              <w:rPr>
                <w:rFonts w:ascii="Arial" w:hAnsi="Arial" w:cs="Arial"/>
                <w:color w:val="FFFFFF" w:themeColor="background1"/>
                <w:sz w:val="24"/>
                <w:szCs w:val="24"/>
              </w:rPr>
              <w:t>7</w:t>
            </w:r>
          </w:p>
        </w:tc>
        <w:tc>
          <w:tcPr>
            <w:tcW w:w="1417" w:type="dxa"/>
            <w:shd w:val="clear" w:color="auto" w:fill="575756"/>
          </w:tcPr>
          <w:p w:rsidR="007B7CDF" w:rsidRPr="00257C2B" w:rsidRDefault="007B7CDF"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w:t>
            </w:r>
            <w:r w:rsidR="00257C2B" w:rsidRPr="00257C2B">
              <w:rPr>
                <w:rFonts w:ascii="Arial" w:hAnsi="Arial" w:cs="Arial"/>
                <w:color w:val="FFFFFF" w:themeColor="background1"/>
                <w:sz w:val="24"/>
                <w:szCs w:val="24"/>
              </w:rPr>
              <w:t>8</w:t>
            </w:r>
          </w:p>
        </w:tc>
      </w:tr>
      <w:tr w:rsidR="007B7CDF" w:rsidRPr="006E2242" w:rsidTr="00A601A4">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Lancashire</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8</w:t>
            </w:r>
            <w:r w:rsidR="00257C2B">
              <w:rPr>
                <w:rFonts w:ascii="Arial" w:hAnsi="Arial" w:cs="Arial"/>
                <w:sz w:val="24"/>
                <w:szCs w:val="24"/>
              </w:rPr>
              <w:t>5.7</w:t>
            </w:r>
            <w:r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w:t>
            </w:r>
            <w:r w:rsidR="00257C2B">
              <w:rPr>
                <w:rFonts w:ascii="Arial" w:hAnsi="Arial" w:cs="Arial"/>
                <w:sz w:val="24"/>
                <w:szCs w:val="24"/>
              </w:rPr>
              <w:t>10,914</w:t>
            </w:r>
            <w:r w:rsidRPr="006E2242">
              <w:rPr>
                <w:rFonts w:ascii="Arial" w:hAnsi="Arial" w:cs="Arial"/>
                <w:sz w:val="24"/>
                <w:szCs w:val="24"/>
              </w:rPr>
              <w:t>)</w:t>
            </w:r>
          </w:p>
        </w:tc>
        <w:tc>
          <w:tcPr>
            <w:tcW w:w="1275"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8</w:t>
            </w:r>
            <w:r w:rsidR="00257C2B">
              <w:rPr>
                <w:rFonts w:ascii="Arial" w:hAnsi="Arial" w:cs="Arial"/>
                <w:sz w:val="24"/>
                <w:szCs w:val="24"/>
              </w:rPr>
              <w:t>2.4</w:t>
            </w:r>
            <w:r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(10,</w:t>
            </w:r>
            <w:r w:rsidR="00257C2B">
              <w:rPr>
                <w:rFonts w:ascii="Arial" w:hAnsi="Arial" w:cs="Arial"/>
                <w:sz w:val="24"/>
                <w:szCs w:val="24"/>
              </w:rPr>
              <w:t>437</w:t>
            </w:r>
            <w:r w:rsidRPr="006E2242">
              <w:rPr>
                <w:rFonts w:ascii="Arial" w:hAnsi="Arial" w:cs="Arial"/>
                <w:sz w:val="24"/>
                <w:szCs w:val="24"/>
              </w:rPr>
              <w:t>)</w:t>
            </w:r>
          </w:p>
        </w:tc>
        <w:tc>
          <w:tcPr>
            <w:tcW w:w="1134"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257C2B">
              <w:rPr>
                <w:rFonts w:ascii="Arial" w:hAnsi="Arial" w:cs="Arial"/>
                <w:sz w:val="24"/>
                <w:szCs w:val="24"/>
              </w:rPr>
              <w:t>7.0</w:t>
            </w:r>
            <w:r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w:t>
            </w:r>
            <w:r w:rsidR="00257C2B">
              <w:rPr>
                <w:rFonts w:ascii="Arial" w:hAnsi="Arial" w:cs="Arial"/>
                <w:sz w:val="24"/>
                <w:szCs w:val="24"/>
              </w:rPr>
              <w:t>1,055</w:t>
            </w:r>
            <w:r w:rsidRPr="006E2242">
              <w:rPr>
                <w:rFonts w:ascii="Arial" w:hAnsi="Arial" w:cs="Arial"/>
                <w:sz w:val="24"/>
                <w:szCs w:val="24"/>
              </w:rPr>
              <w:t>)</w:t>
            </w:r>
          </w:p>
        </w:tc>
        <w:tc>
          <w:tcPr>
            <w:tcW w:w="1276" w:type="dxa"/>
            <w:shd w:val="clear" w:color="auto" w:fill="E0E0E0"/>
          </w:tcPr>
          <w:p w:rsidR="007B7CDF" w:rsidRPr="006E2242" w:rsidRDefault="00257C2B" w:rsidP="005A49A9">
            <w:pPr>
              <w:spacing w:after="0"/>
              <w:jc w:val="center"/>
              <w:rPr>
                <w:rFonts w:ascii="Arial" w:hAnsi="Arial" w:cs="Arial"/>
                <w:sz w:val="24"/>
                <w:szCs w:val="24"/>
              </w:rPr>
            </w:pPr>
            <w:r>
              <w:rPr>
                <w:rFonts w:ascii="Arial" w:hAnsi="Arial" w:cs="Arial"/>
                <w:sz w:val="24"/>
                <w:szCs w:val="24"/>
              </w:rPr>
              <w:t>58.8</w:t>
            </w:r>
            <w:r w:rsidR="007B7CDF"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w:t>
            </w:r>
            <w:r w:rsidR="00257C2B">
              <w:rPr>
                <w:rFonts w:ascii="Arial" w:hAnsi="Arial" w:cs="Arial"/>
                <w:sz w:val="24"/>
                <w:szCs w:val="24"/>
              </w:rPr>
              <w:t>923</w:t>
            </w:r>
            <w:r w:rsidRPr="006E2242">
              <w:rPr>
                <w:rFonts w:ascii="Arial" w:hAnsi="Arial" w:cs="Arial"/>
                <w:sz w:val="24"/>
                <w:szCs w:val="24"/>
              </w:rPr>
              <w:t>)</w:t>
            </w:r>
          </w:p>
        </w:tc>
        <w:tc>
          <w:tcPr>
            <w:tcW w:w="1276" w:type="dxa"/>
            <w:shd w:val="clear" w:color="auto" w:fill="E0E0E0"/>
          </w:tcPr>
          <w:p w:rsidR="007B7CDF" w:rsidRPr="006E2242" w:rsidRDefault="00257C2B" w:rsidP="005A49A9">
            <w:pPr>
              <w:spacing w:after="0"/>
              <w:jc w:val="center"/>
              <w:rPr>
                <w:rFonts w:ascii="Arial" w:hAnsi="Arial" w:cs="Arial"/>
                <w:sz w:val="24"/>
                <w:szCs w:val="24"/>
              </w:rPr>
            </w:pPr>
            <w:r>
              <w:rPr>
                <w:rFonts w:ascii="Arial" w:hAnsi="Arial" w:cs="Arial"/>
                <w:sz w:val="24"/>
                <w:szCs w:val="24"/>
              </w:rPr>
              <w:t>88.3</w:t>
            </w:r>
            <w:r w:rsidR="007B7CDF"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w:t>
            </w:r>
            <w:r w:rsidR="00257C2B">
              <w:rPr>
                <w:rFonts w:ascii="Arial" w:hAnsi="Arial" w:cs="Arial"/>
                <w:sz w:val="24"/>
                <w:szCs w:val="24"/>
              </w:rPr>
              <w:t>9,859</w:t>
            </w:r>
            <w:r w:rsidRPr="006E2242">
              <w:rPr>
                <w:rFonts w:ascii="Arial" w:hAnsi="Arial" w:cs="Arial"/>
                <w:sz w:val="24"/>
                <w:szCs w:val="24"/>
              </w:rPr>
              <w:t>)</w:t>
            </w:r>
          </w:p>
        </w:tc>
        <w:tc>
          <w:tcPr>
            <w:tcW w:w="1417"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8</w:t>
            </w:r>
            <w:r w:rsidR="00257C2B">
              <w:rPr>
                <w:rFonts w:ascii="Arial" w:hAnsi="Arial" w:cs="Arial"/>
                <w:sz w:val="24"/>
                <w:szCs w:val="24"/>
              </w:rPr>
              <w:t>5.7</w:t>
            </w:r>
            <w:r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w:t>
            </w:r>
            <w:r w:rsidR="00257C2B">
              <w:rPr>
                <w:rFonts w:ascii="Arial" w:hAnsi="Arial" w:cs="Arial"/>
                <w:sz w:val="24"/>
                <w:szCs w:val="24"/>
              </w:rPr>
              <w:t>9,514</w:t>
            </w:r>
            <w:r w:rsidRPr="006E2242">
              <w:rPr>
                <w:rFonts w:ascii="Arial" w:hAnsi="Arial" w:cs="Arial"/>
                <w:sz w:val="24"/>
                <w:szCs w:val="24"/>
              </w:rPr>
              <w:t>)</w:t>
            </w:r>
          </w:p>
        </w:tc>
      </w:tr>
      <w:tr w:rsidR="007B7CDF" w:rsidRPr="006E2242" w:rsidTr="00A601A4">
        <w:tc>
          <w:tcPr>
            <w:tcW w:w="1418" w:type="dxa"/>
            <w:shd w:val="clear" w:color="auto" w:fill="575756"/>
          </w:tcPr>
          <w:p w:rsidR="007B7CDF" w:rsidRPr="00202013" w:rsidRDefault="007B7CDF" w:rsidP="005A49A9">
            <w:pPr>
              <w:spacing w:after="0"/>
              <w:rPr>
                <w:rFonts w:ascii="Arial" w:hAnsi="Arial" w:cs="Arial"/>
                <w:color w:val="FFFFFF" w:themeColor="background1"/>
                <w:sz w:val="24"/>
                <w:szCs w:val="24"/>
              </w:rPr>
            </w:pPr>
            <w:r w:rsidRPr="00202013">
              <w:rPr>
                <w:rFonts w:ascii="Arial" w:hAnsi="Arial" w:cs="Arial"/>
                <w:color w:val="FFFFFF" w:themeColor="background1"/>
                <w:sz w:val="24"/>
                <w:szCs w:val="24"/>
              </w:rPr>
              <w:t>North West</w:t>
            </w:r>
          </w:p>
        </w:tc>
        <w:tc>
          <w:tcPr>
            <w:tcW w:w="1276"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8</w:t>
            </w:r>
            <w:r w:rsidR="00257C2B">
              <w:rPr>
                <w:rFonts w:ascii="Arial" w:hAnsi="Arial" w:cs="Arial"/>
                <w:color w:val="FFFFFF" w:themeColor="background1"/>
                <w:sz w:val="24"/>
                <w:szCs w:val="24"/>
              </w:rPr>
              <w:t>3.9</w:t>
            </w:r>
            <w:r w:rsidRPr="00202013">
              <w:rPr>
                <w:rFonts w:ascii="Arial" w:hAnsi="Arial" w:cs="Arial"/>
                <w:color w:val="FFFFFF" w:themeColor="background1"/>
                <w:sz w:val="24"/>
                <w:szCs w:val="24"/>
              </w:rPr>
              <w:t>%</w:t>
            </w:r>
          </w:p>
          <w:p w:rsidR="007B7CDF" w:rsidRPr="00202013" w:rsidRDefault="007B7CDF" w:rsidP="00257C2B">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257C2B">
              <w:rPr>
                <w:rFonts w:ascii="Arial" w:hAnsi="Arial" w:cs="Arial"/>
                <w:color w:val="FFFFFF" w:themeColor="background1"/>
                <w:sz w:val="24"/>
                <w:szCs w:val="24"/>
              </w:rPr>
              <w:t>65,025</w:t>
            </w:r>
            <w:r w:rsidRPr="00202013">
              <w:rPr>
                <w:rFonts w:ascii="Arial" w:hAnsi="Arial" w:cs="Arial"/>
                <w:color w:val="FFFFFF" w:themeColor="background1"/>
                <w:sz w:val="24"/>
                <w:szCs w:val="24"/>
              </w:rPr>
              <w:t>)</w:t>
            </w:r>
          </w:p>
        </w:tc>
        <w:tc>
          <w:tcPr>
            <w:tcW w:w="1275"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8</w:t>
            </w:r>
            <w:r w:rsidR="00257C2B">
              <w:rPr>
                <w:rFonts w:ascii="Arial" w:hAnsi="Arial" w:cs="Arial"/>
                <w:color w:val="FFFFFF" w:themeColor="background1"/>
                <w:sz w:val="24"/>
                <w:szCs w:val="24"/>
              </w:rPr>
              <w:t>2.0</w:t>
            </w:r>
            <w:r w:rsidRPr="00202013">
              <w:rPr>
                <w:rFonts w:ascii="Arial" w:hAnsi="Arial" w:cs="Arial"/>
                <w:color w:val="FFFFFF" w:themeColor="background1"/>
                <w:sz w:val="24"/>
                <w:szCs w:val="24"/>
              </w:rPr>
              <w:t>%</w:t>
            </w:r>
          </w:p>
          <w:p w:rsidR="007B7CDF" w:rsidRPr="00202013" w:rsidRDefault="007B7CDF" w:rsidP="00257C2B">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257C2B">
              <w:rPr>
                <w:rFonts w:ascii="Arial" w:hAnsi="Arial" w:cs="Arial"/>
                <w:color w:val="FFFFFF" w:themeColor="background1"/>
                <w:sz w:val="24"/>
                <w:szCs w:val="24"/>
              </w:rPr>
              <w:t>62,996</w:t>
            </w:r>
            <w:r w:rsidRPr="00202013">
              <w:rPr>
                <w:rFonts w:ascii="Arial" w:hAnsi="Arial" w:cs="Arial"/>
                <w:color w:val="FFFFFF" w:themeColor="background1"/>
                <w:sz w:val="24"/>
                <w:szCs w:val="24"/>
              </w:rPr>
              <w:t>)</w:t>
            </w:r>
          </w:p>
        </w:tc>
        <w:tc>
          <w:tcPr>
            <w:tcW w:w="1134"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6</w:t>
            </w:r>
            <w:r w:rsidR="00257C2B">
              <w:rPr>
                <w:rFonts w:ascii="Arial" w:hAnsi="Arial" w:cs="Arial"/>
                <w:color w:val="FFFFFF" w:themeColor="background1"/>
                <w:sz w:val="24"/>
                <w:szCs w:val="24"/>
              </w:rPr>
              <w:t>6.1</w:t>
            </w:r>
            <w:r w:rsidRPr="00202013">
              <w:rPr>
                <w:rFonts w:ascii="Arial" w:hAnsi="Arial" w:cs="Arial"/>
                <w:color w:val="FFFFFF" w:themeColor="background1"/>
                <w:sz w:val="24"/>
                <w:szCs w:val="24"/>
              </w:rPr>
              <w:t>%</w:t>
            </w:r>
          </w:p>
          <w:p w:rsidR="007B7CDF" w:rsidRPr="00202013" w:rsidRDefault="007B7CDF" w:rsidP="00257C2B">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257C2B">
              <w:rPr>
                <w:rFonts w:ascii="Arial" w:hAnsi="Arial" w:cs="Arial"/>
                <w:color w:val="FFFFFF" w:themeColor="background1"/>
                <w:sz w:val="24"/>
                <w:szCs w:val="24"/>
              </w:rPr>
              <w:t>8,407</w:t>
            </w:r>
            <w:r w:rsidRPr="00202013">
              <w:rPr>
                <w:rFonts w:ascii="Arial" w:hAnsi="Arial" w:cs="Arial"/>
                <w:color w:val="FFFFFF" w:themeColor="background1"/>
                <w:sz w:val="24"/>
                <w:szCs w:val="24"/>
              </w:rPr>
              <w:t>)</w:t>
            </w:r>
          </w:p>
        </w:tc>
        <w:tc>
          <w:tcPr>
            <w:tcW w:w="1276"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6</w:t>
            </w:r>
            <w:r w:rsidR="00257C2B">
              <w:rPr>
                <w:rFonts w:ascii="Arial" w:hAnsi="Arial" w:cs="Arial"/>
                <w:color w:val="FFFFFF" w:themeColor="background1"/>
                <w:sz w:val="24"/>
                <w:szCs w:val="24"/>
              </w:rPr>
              <w:t>2.3</w:t>
            </w:r>
            <w:r w:rsidRPr="00202013">
              <w:rPr>
                <w:rFonts w:ascii="Arial" w:hAnsi="Arial" w:cs="Arial"/>
                <w:color w:val="FFFFFF" w:themeColor="background1"/>
                <w:sz w:val="24"/>
                <w:szCs w:val="24"/>
              </w:rPr>
              <w:t>%</w:t>
            </w:r>
          </w:p>
          <w:p w:rsidR="007B7CDF" w:rsidRPr="00202013" w:rsidRDefault="007B7CDF" w:rsidP="00257C2B">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257C2B">
              <w:rPr>
                <w:rFonts w:ascii="Arial" w:hAnsi="Arial" w:cs="Arial"/>
                <w:color w:val="FFFFFF" w:themeColor="background1"/>
                <w:sz w:val="24"/>
                <w:szCs w:val="24"/>
              </w:rPr>
              <w:t>7,618</w:t>
            </w:r>
            <w:r w:rsidRPr="00202013">
              <w:rPr>
                <w:rFonts w:ascii="Arial" w:hAnsi="Arial" w:cs="Arial"/>
                <w:color w:val="FFFFFF" w:themeColor="background1"/>
                <w:sz w:val="24"/>
                <w:szCs w:val="24"/>
              </w:rPr>
              <w:t>)</w:t>
            </w:r>
          </w:p>
        </w:tc>
        <w:tc>
          <w:tcPr>
            <w:tcW w:w="1276" w:type="dxa"/>
            <w:shd w:val="clear" w:color="auto" w:fill="575756"/>
          </w:tcPr>
          <w:p w:rsidR="007B7CDF" w:rsidRPr="00202013" w:rsidRDefault="00257C2B"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87.5</w:t>
            </w:r>
            <w:r w:rsidR="007B7CDF" w:rsidRPr="00202013">
              <w:rPr>
                <w:rFonts w:ascii="Arial" w:hAnsi="Arial" w:cs="Arial"/>
                <w:color w:val="FFFFFF" w:themeColor="background1"/>
                <w:sz w:val="24"/>
                <w:szCs w:val="24"/>
              </w:rPr>
              <w:t>%</w:t>
            </w:r>
          </w:p>
          <w:p w:rsidR="007B7CDF" w:rsidRPr="00202013" w:rsidRDefault="007B7CDF" w:rsidP="00257C2B">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257C2B">
              <w:rPr>
                <w:rFonts w:ascii="Arial" w:hAnsi="Arial" w:cs="Arial"/>
                <w:color w:val="FFFFFF" w:themeColor="background1"/>
                <w:sz w:val="24"/>
                <w:szCs w:val="24"/>
              </w:rPr>
              <w:t>56,626</w:t>
            </w:r>
            <w:r w:rsidRPr="00202013">
              <w:rPr>
                <w:rFonts w:ascii="Arial" w:hAnsi="Arial" w:cs="Arial"/>
                <w:color w:val="FFFFFF" w:themeColor="background1"/>
                <w:sz w:val="24"/>
                <w:szCs w:val="24"/>
              </w:rPr>
              <w:t>)</w:t>
            </w:r>
          </w:p>
        </w:tc>
        <w:tc>
          <w:tcPr>
            <w:tcW w:w="1417"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8</w:t>
            </w:r>
            <w:r w:rsidR="00257C2B">
              <w:rPr>
                <w:rFonts w:ascii="Arial" w:hAnsi="Arial" w:cs="Arial"/>
                <w:color w:val="FFFFFF" w:themeColor="background1"/>
                <w:sz w:val="24"/>
                <w:szCs w:val="24"/>
              </w:rPr>
              <w:t>5.7</w:t>
            </w:r>
            <w:r w:rsidRPr="00202013">
              <w:rPr>
                <w:rFonts w:ascii="Arial" w:hAnsi="Arial" w:cs="Arial"/>
                <w:color w:val="FFFFFF" w:themeColor="background1"/>
                <w:sz w:val="24"/>
                <w:szCs w:val="24"/>
              </w:rPr>
              <w:t>%</w:t>
            </w:r>
          </w:p>
          <w:p w:rsidR="007B7CDF" w:rsidRPr="00202013" w:rsidRDefault="007B7CDF" w:rsidP="00257C2B">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257C2B">
              <w:rPr>
                <w:rFonts w:ascii="Arial" w:hAnsi="Arial" w:cs="Arial"/>
                <w:color w:val="FFFFFF" w:themeColor="background1"/>
                <w:sz w:val="24"/>
                <w:szCs w:val="24"/>
              </w:rPr>
              <w:t>55,377</w:t>
            </w:r>
            <w:r w:rsidRPr="00202013">
              <w:rPr>
                <w:rFonts w:ascii="Arial" w:hAnsi="Arial" w:cs="Arial"/>
                <w:color w:val="FFFFFF" w:themeColor="background1"/>
                <w:sz w:val="24"/>
                <w:szCs w:val="24"/>
              </w:rPr>
              <w:t>)</w:t>
            </w:r>
          </w:p>
        </w:tc>
      </w:tr>
      <w:tr w:rsidR="007B7CDF" w:rsidRPr="006E2242" w:rsidTr="00A601A4">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England</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8</w:t>
            </w:r>
            <w:r w:rsidR="00257C2B">
              <w:rPr>
                <w:rFonts w:ascii="Arial" w:hAnsi="Arial" w:cs="Arial"/>
                <w:sz w:val="24"/>
                <w:szCs w:val="24"/>
              </w:rPr>
              <w:t>3.6</w:t>
            </w:r>
            <w:r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(4</w:t>
            </w:r>
            <w:r w:rsidR="00257C2B">
              <w:rPr>
                <w:rFonts w:ascii="Arial" w:hAnsi="Arial" w:cs="Arial"/>
                <w:sz w:val="24"/>
                <w:szCs w:val="24"/>
              </w:rPr>
              <w:t>68,419</w:t>
            </w:r>
            <w:r w:rsidRPr="006E2242">
              <w:rPr>
                <w:rFonts w:ascii="Arial" w:hAnsi="Arial" w:cs="Arial"/>
                <w:sz w:val="24"/>
                <w:szCs w:val="24"/>
              </w:rPr>
              <w:t>)</w:t>
            </w:r>
          </w:p>
        </w:tc>
        <w:tc>
          <w:tcPr>
            <w:tcW w:w="1275"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8</w:t>
            </w:r>
            <w:r w:rsidR="00257C2B">
              <w:rPr>
                <w:rFonts w:ascii="Arial" w:hAnsi="Arial" w:cs="Arial"/>
                <w:sz w:val="24"/>
                <w:szCs w:val="24"/>
              </w:rPr>
              <w:t>2.2</w:t>
            </w:r>
            <w:r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(4</w:t>
            </w:r>
            <w:r w:rsidR="00257C2B">
              <w:rPr>
                <w:rFonts w:ascii="Arial" w:hAnsi="Arial" w:cs="Arial"/>
                <w:sz w:val="24"/>
                <w:szCs w:val="24"/>
              </w:rPr>
              <w:t>56,029</w:t>
            </w:r>
            <w:r w:rsidRPr="006E2242">
              <w:rPr>
                <w:rFonts w:ascii="Arial" w:hAnsi="Arial" w:cs="Arial"/>
                <w:sz w:val="24"/>
                <w:szCs w:val="24"/>
              </w:rPr>
              <w:t>)</w:t>
            </w:r>
          </w:p>
        </w:tc>
        <w:tc>
          <w:tcPr>
            <w:tcW w:w="1134" w:type="dxa"/>
            <w:shd w:val="clear" w:color="auto" w:fill="E0E0E0"/>
          </w:tcPr>
          <w:p w:rsidR="007B7CDF" w:rsidRPr="006E2242" w:rsidRDefault="00257C2B" w:rsidP="005A49A9">
            <w:pPr>
              <w:spacing w:after="0"/>
              <w:jc w:val="center"/>
              <w:rPr>
                <w:rFonts w:ascii="Arial" w:hAnsi="Arial" w:cs="Arial"/>
                <w:sz w:val="24"/>
                <w:szCs w:val="24"/>
              </w:rPr>
            </w:pPr>
            <w:r>
              <w:rPr>
                <w:rFonts w:ascii="Arial" w:hAnsi="Arial" w:cs="Arial"/>
                <w:sz w:val="24"/>
                <w:szCs w:val="24"/>
              </w:rPr>
              <w:t>66.5</w:t>
            </w:r>
            <w:r w:rsidR="007B7CDF"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w:t>
            </w:r>
            <w:r w:rsidR="00257C2B">
              <w:rPr>
                <w:rFonts w:ascii="Arial" w:hAnsi="Arial" w:cs="Arial"/>
                <w:sz w:val="24"/>
                <w:szCs w:val="24"/>
              </w:rPr>
              <w:t>53,884</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257C2B">
              <w:rPr>
                <w:rFonts w:ascii="Arial" w:hAnsi="Arial" w:cs="Arial"/>
                <w:sz w:val="24"/>
                <w:szCs w:val="24"/>
              </w:rPr>
              <w:t>3.3</w:t>
            </w:r>
            <w:r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w:t>
            </w:r>
            <w:r w:rsidR="00257C2B">
              <w:rPr>
                <w:rFonts w:ascii="Arial" w:hAnsi="Arial" w:cs="Arial"/>
                <w:sz w:val="24"/>
                <w:szCs w:val="24"/>
              </w:rPr>
              <w:t>48,712</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8</w:t>
            </w:r>
            <w:r w:rsidR="00257C2B">
              <w:rPr>
                <w:rFonts w:ascii="Arial" w:hAnsi="Arial" w:cs="Arial"/>
                <w:sz w:val="24"/>
                <w:szCs w:val="24"/>
              </w:rPr>
              <w:t>6.5</w:t>
            </w:r>
            <w:r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w:t>
            </w:r>
            <w:r w:rsidR="00257C2B">
              <w:rPr>
                <w:rFonts w:ascii="Arial" w:hAnsi="Arial" w:cs="Arial"/>
                <w:sz w:val="24"/>
                <w:szCs w:val="24"/>
              </w:rPr>
              <w:t>414,535</w:t>
            </w:r>
            <w:r w:rsidRPr="006E2242">
              <w:rPr>
                <w:rFonts w:ascii="Arial" w:hAnsi="Arial" w:cs="Arial"/>
                <w:sz w:val="24"/>
                <w:szCs w:val="24"/>
              </w:rPr>
              <w:t>)</w:t>
            </w:r>
          </w:p>
        </w:tc>
        <w:tc>
          <w:tcPr>
            <w:tcW w:w="1417"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8</w:t>
            </w:r>
            <w:r w:rsidR="00257C2B">
              <w:rPr>
                <w:rFonts w:ascii="Arial" w:hAnsi="Arial" w:cs="Arial"/>
                <w:sz w:val="24"/>
                <w:szCs w:val="24"/>
              </w:rPr>
              <w:t>5.2</w:t>
            </w:r>
            <w:r w:rsidRPr="006E2242">
              <w:rPr>
                <w:rFonts w:ascii="Arial" w:hAnsi="Arial" w:cs="Arial"/>
                <w:sz w:val="24"/>
                <w:szCs w:val="24"/>
              </w:rPr>
              <w:t>%</w:t>
            </w:r>
          </w:p>
          <w:p w:rsidR="007B7CDF" w:rsidRPr="006E2242" w:rsidRDefault="007B7CDF" w:rsidP="00257C2B">
            <w:pPr>
              <w:spacing w:after="0"/>
              <w:jc w:val="center"/>
              <w:rPr>
                <w:rFonts w:ascii="Arial" w:hAnsi="Arial" w:cs="Arial"/>
                <w:sz w:val="24"/>
                <w:szCs w:val="24"/>
              </w:rPr>
            </w:pPr>
            <w:r w:rsidRPr="006E2242">
              <w:rPr>
                <w:rFonts w:ascii="Arial" w:hAnsi="Arial" w:cs="Arial"/>
                <w:sz w:val="24"/>
                <w:szCs w:val="24"/>
              </w:rPr>
              <w:t>(</w:t>
            </w:r>
            <w:r w:rsidR="00257C2B">
              <w:rPr>
                <w:rFonts w:ascii="Arial" w:hAnsi="Arial" w:cs="Arial"/>
                <w:sz w:val="24"/>
                <w:szCs w:val="24"/>
              </w:rPr>
              <w:t>407,317</w:t>
            </w:r>
            <w:r w:rsidRPr="006E2242">
              <w:rPr>
                <w:rFonts w:ascii="Arial" w:hAnsi="Arial" w:cs="Arial"/>
                <w:sz w:val="24"/>
                <w:szCs w:val="24"/>
              </w:rPr>
              <w:t>)</w:t>
            </w:r>
          </w:p>
        </w:tc>
      </w:tr>
    </w:tbl>
    <w:p w:rsidR="007B7CDF" w:rsidRPr="00CE3A71" w:rsidRDefault="007B7CDF" w:rsidP="007B7CDF">
      <w:pPr>
        <w:spacing w:after="0"/>
        <w:rPr>
          <w:rFonts w:ascii="Arial" w:hAnsi="Arial" w:cs="Arial"/>
          <w:sz w:val="24"/>
          <w:szCs w:val="24"/>
        </w:rPr>
      </w:pPr>
    </w:p>
    <w:p w:rsidR="00CE3A71" w:rsidRPr="00CE3A71" w:rsidRDefault="007B7CDF" w:rsidP="00844E90">
      <w:pPr>
        <w:numPr>
          <w:ilvl w:val="0"/>
          <w:numId w:val="22"/>
        </w:numPr>
        <w:autoSpaceDE w:val="0"/>
        <w:autoSpaceDN w:val="0"/>
        <w:adjustRightInd w:val="0"/>
        <w:spacing w:after="0" w:line="240" w:lineRule="auto"/>
        <w:rPr>
          <w:rFonts w:ascii="Arial" w:hAnsi="Arial" w:cs="Arial"/>
          <w:sz w:val="24"/>
          <w:szCs w:val="24"/>
        </w:rPr>
      </w:pPr>
      <w:r w:rsidRPr="00CE3A71">
        <w:rPr>
          <w:rFonts w:ascii="Arial" w:hAnsi="Arial" w:cs="Arial"/>
          <w:sz w:val="24"/>
          <w:szCs w:val="24"/>
        </w:rPr>
        <w:t xml:space="preserve">Lancashire is </w:t>
      </w:r>
      <w:r w:rsidR="00CE3A71" w:rsidRPr="00CE3A71">
        <w:rPr>
          <w:rFonts w:ascii="Arial" w:hAnsi="Arial" w:cs="Arial"/>
          <w:sz w:val="24"/>
          <w:szCs w:val="24"/>
        </w:rPr>
        <w:t xml:space="preserve">broadly in line with the </w:t>
      </w:r>
      <w:r w:rsidRPr="00CE3A71">
        <w:rPr>
          <w:rFonts w:ascii="Arial" w:hAnsi="Arial" w:cs="Arial"/>
          <w:sz w:val="24"/>
          <w:szCs w:val="24"/>
        </w:rPr>
        <w:t>North West and England positions</w:t>
      </w:r>
      <w:r w:rsidR="00CE3A71" w:rsidRPr="00CE3A71">
        <w:rPr>
          <w:rFonts w:ascii="Arial" w:hAnsi="Arial" w:cs="Arial"/>
          <w:sz w:val="24"/>
          <w:szCs w:val="24"/>
        </w:rPr>
        <w:t xml:space="preserve"> for all young people and for young people not eligible for FSM.  Lancashire is now below the comparators for young people eligible for FSM</w:t>
      </w:r>
    </w:p>
    <w:p w:rsidR="007B7CDF" w:rsidRPr="00844E90" w:rsidRDefault="007B7CDF" w:rsidP="00844E90">
      <w:pPr>
        <w:numPr>
          <w:ilvl w:val="0"/>
          <w:numId w:val="22"/>
        </w:numPr>
        <w:autoSpaceDE w:val="0"/>
        <w:autoSpaceDN w:val="0"/>
        <w:adjustRightInd w:val="0"/>
        <w:spacing w:after="0" w:line="240" w:lineRule="auto"/>
        <w:rPr>
          <w:rFonts w:ascii="Arial" w:hAnsi="Arial" w:cs="Arial"/>
          <w:sz w:val="24"/>
          <w:szCs w:val="24"/>
        </w:rPr>
      </w:pPr>
      <w:r w:rsidRPr="00844E90">
        <w:rPr>
          <w:rFonts w:ascii="Arial" w:hAnsi="Arial" w:cs="Arial"/>
          <w:sz w:val="24"/>
          <w:szCs w:val="24"/>
        </w:rPr>
        <w:t xml:space="preserve">There have been reductions in the percentage of </w:t>
      </w:r>
      <w:r w:rsidR="00594556">
        <w:rPr>
          <w:rFonts w:ascii="Arial" w:hAnsi="Arial" w:cs="Arial"/>
          <w:sz w:val="24"/>
          <w:szCs w:val="24"/>
        </w:rPr>
        <w:t>young people</w:t>
      </w:r>
      <w:r w:rsidRPr="00844E90">
        <w:rPr>
          <w:rFonts w:ascii="Arial" w:hAnsi="Arial" w:cs="Arial"/>
          <w:sz w:val="24"/>
          <w:szCs w:val="24"/>
        </w:rPr>
        <w:t xml:space="preserve"> achieving in all three groups for Lancashire, the North West and England, compared to the previous year.  The Lancashire reduction for </w:t>
      </w:r>
      <w:r w:rsidR="00594556">
        <w:rPr>
          <w:rFonts w:ascii="Arial" w:hAnsi="Arial" w:cs="Arial"/>
          <w:sz w:val="24"/>
          <w:szCs w:val="24"/>
        </w:rPr>
        <w:t>young people</w:t>
      </w:r>
      <w:r w:rsidRPr="00844E90">
        <w:rPr>
          <w:rFonts w:ascii="Arial" w:hAnsi="Arial" w:cs="Arial"/>
          <w:sz w:val="24"/>
          <w:szCs w:val="24"/>
        </w:rPr>
        <w:t xml:space="preserve"> eligible for FSM is </w:t>
      </w:r>
      <w:r w:rsidR="00844E90" w:rsidRPr="00844E90">
        <w:rPr>
          <w:rFonts w:ascii="Arial" w:hAnsi="Arial" w:cs="Arial"/>
          <w:sz w:val="24"/>
          <w:szCs w:val="24"/>
        </w:rPr>
        <w:t xml:space="preserve">significantly greater than </w:t>
      </w:r>
      <w:r w:rsidRPr="00844E90">
        <w:rPr>
          <w:rFonts w:ascii="Arial" w:hAnsi="Arial" w:cs="Arial"/>
          <w:sz w:val="24"/>
          <w:szCs w:val="24"/>
        </w:rPr>
        <w:t>the North West and England reductions</w:t>
      </w:r>
    </w:p>
    <w:p w:rsidR="007B7CDF" w:rsidRDefault="00844E90" w:rsidP="00844E90">
      <w:pPr>
        <w:numPr>
          <w:ilvl w:val="0"/>
          <w:numId w:val="22"/>
        </w:numPr>
        <w:autoSpaceDE w:val="0"/>
        <w:autoSpaceDN w:val="0"/>
        <w:adjustRightInd w:val="0"/>
        <w:spacing w:after="0" w:line="240" w:lineRule="auto"/>
        <w:rPr>
          <w:rFonts w:ascii="Arial" w:hAnsi="Arial" w:cs="Arial"/>
          <w:sz w:val="24"/>
          <w:szCs w:val="24"/>
        </w:rPr>
      </w:pPr>
      <w:r w:rsidRPr="00844E90">
        <w:rPr>
          <w:rFonts w:ascii="Arial" w:hAnsi="Arial" w:cs="Arial"/>
          <w:sz w:val="24"/>
          <w:szCs w:val="24"/>
        </w:rPr>
        <w:t>At 26.9 percentage points, t</w:t>
      </w:r>
      <w:r w:rsidR="007B7CDF" w:rsidRPr="00844E90">
        <w:rPr>
          <w:rFonts w:ascii="Arial" w:hAnsi="Arial" w:cs="Arial"/>
          <w:sz w:val="24"/>
          <w:szCs w:val="24"/>
        </w:rPr>
        <w:t xml:space="preserve">he attainment gap between </w:t>
      </w:r>
      <w:r w:rsidR="00594556">
        <w:rPr>
          <w:rFonts w:ascii="Arial" w:hAnsi="Arial" w:cs="Arial"/>
          <w:sz w:val="24"/>
          <w:szCs w:val="24"/>
        </w:rPr>
        <w:t>young people</w:t>
      </w:r>
      <w:r w:rsidR="007B7CDF" w:rsidRPr="00844E90">
        <w:rPr>
          <w:rFonts w:ascii="Arial" w:hAnsi="Arial" w:cs="Arial"/>
          <w:sz w:val="24"/>
          <w:szCs w:val="24"/>
        </w:rPr>
        <w:t xml:space="preserve"> eligible and not eligible for FSM</w:t>
      </w:r>
      <w:r>
        <w:rPr>
          <w:rFonts w:ascii="Arial" w:hAnsi="Arial" w:cs="Arial"/>
          <w:sz w:val="24"/>
          <w:szCs w:val="24"/>
        </w:rPr>
        <w:t xml:space="preserve"> in Lancashire</w:t>
      </w:r>
      <w:r w:rsidR="007B7CDF" w:rsidRPr="00844E90">
        <w:rPr>
          <w:rFonts w:ascii="Arial" w:hAnsi="Arial" w:cs="Arial"/>
          <w:sz w:val="24"/>
          <w:szCs w:val="24"/>
        </w:rPr>
        <w:t xml:space="preserve"> has </w:t>
      </w:r>
      <w:r w:rsidRPr="00844E90">
        <w:rPr>
          <w:rFonts w:ascii="Arial" w:hAnsi="Arial" w:cs="Arial"/>
          <w:sz w:val="24"/>
          <w:szCs w:val="24"/>
        </w:rPr>
        <w:t xml:space="preserve">increased compared to 2017 when it was </w:t>
      </w:r>
      <w:r w:rsidR="007B7CDF" w:rsidRPr="00844E90">
        <w:rPr>
          <w:rFonts w:ascii="Arial" w:hAnsi="Arial" w:cs="Arial"/>
          <w:sz w:val="24"/>
          <w:szCs w:val="24"/>
        </w:rPr>
        <w:t xml:space="preserve">21.4 percentage points.  </w:t>
      </w:r>
      <w:r w:rsidRPr="00844E90">
        <w:rPr>
          <w:rFonts w:ascii="Arial" w:hAnsi="Arial" w:cs="Arial"/>
          <w:sz w:val="24"/>
          <w:szCs w:val="24"/>
        </w:rPr>
        <w:t>The attainment gap in Lancashire is greater than th</w:t>
      </w:r>
      <w:r>
        <w:rPr>
          <w:rFonts w:ascii="Arial" w:hAnsi="Arial" w:cs="Arial"/>
          <w:sz w:val="24"/>
          <w:szCs w:val="24"/>
        </w:rPr>
        <w:t>ose</w:t>
      </w:r>
      <w:r w:rsidR="007B7CDF" w:rsidRPr="00844E90">
        <w:rPr>
          <w:rFonts w:ascii="Arial" w:hAnsi="Arial" w:cs="Arial"/>
          <w:sz w:val="24"/>
          <w:szCs w:val="24"/>
        </w:rPr>
        <w:t xml:space="preserve"> for</w:t>
      </w:r>
      <w:r w:rsidRPr="00844E90">
        <w:rPr>
          <w:rFonts w:ascii="Arial" w:hAnsi="Arial" w:cs="Arial"/>
          <w:sz w:val="24"/>
          <w:szCs w:val="24"/>
        </w:rPr>
        <w:t xml:space="preserve"> the North West and</w:t>
      </w:r>
      <w:r w:rsidR="007B7CDF" w:rsidRPr="00844E90">
        <w:rPr>
          <w:rFonts w:ascii="Arial" w:hAnsi="Arial" w:cs="Arial"/>
          <w:sz w:val="24"/>
          <w:szCs w:val="24"/>
        </w:rPr>
        <w:t xml:space="preserve"> England, </w:t>
      </w:r>
      <w:r w:rsidR="00561D52">
        <w:rPr>
          <w:rFonts w:ascii="Arial" w:hAnsi="Arial" w:cs="Arial"/>
          <w:sz w:val="24"/>
          <w:szCs w:val="24"/>
        </w:rPr>
        <w:t>both of which have also in</w:t>
      </w:r>
      <w:r w:rsidR="00A02D37">
        <w:rPr>
          <w:rFonts w:ascii="Arial" w:hAnsi="Arial" w:cs="Arial"/>
          <w:sz w:val="24"/>
          <w:szCs w:val="24"/>
        </w:rPr>
        <w:t>creased compared to 2017</w:t>
      </w:r>
    </w:p>
    <w:p w:rsidR="00A02D37" w:rsidRDefault="00A02D37">
      <w:pPr>
        <w:rPr>
          <w:rFonts w:ascii="Arial" w:hAnsi="Arial" w:cs="Arial"/>
          <w:sz w:val="24"/>
          <w:szCs w:val="24"/>
        </w:rPr>
      </w:pPr>
      <w:r>
        <w:rPr>
          <w:rFonts w:ascii="Arial" w:hAnsi="Arial" w:cs="Arial"/>
          <w:sz w:val="24"/>
          <w:szCs w:val="24"/>
        </w:rPr>
        <w:br w:type="page"/>
      </w:r>
    </w:p>
    <w:p w:rsidR="00A02D37" w:rsidRPr="00820FFB" w:rsidRDefault="00A02D37" w:rsidP="00A02D37">
      <w:pPr>
        <w:autoSpaceDE w:val="0"/>
        <w:autoSpaceDN w:val="0"/>
        <w:adjustRightInd w:val="0"/>
        <w:spacing w:after="0" w:line="240" w:lineRule="auto"/>
        <w:rPr>
          <w:rFonts w:ascii="Arial" w:hAnsi="Arial" w:cs="Arial"/>
          <w:sz w:val="24"/>
          <w:szCs w:val="24"/>
        </w:rPr>
      </w:pPr>
    </w:p>
    <w:tbl>
      <w:tblPr>
        <w:tblW w:w="9072" w:type="dxa"/>
        <w:tblLook w:val="04A0" w:firstRow="1" w:lastRow="0" w:firstColumn="1" w:lastColumn="0" w:noHBand="0" w:noVBand="1"/>
      </w:tblPr>
      <w:tblGrid>
        <w:gridCol w:w="1418"/>
        <w:gridCol w:w="1276"/>
        <w:gridCol w:w="1275"/>
        <w:gridCol w:w="1134"/>
        <w:gridCol w:w="1134"/>
        <w:gridCol w:w="1418"/>
        <w:gridCol w:w="1417"/>
      </w:tblGrid>
      <w:tr w:rsidR="007B7CDF" w:rsidRPr="008E2ACA" w:rsidTr="00A601A4">
        <w:tc>
          <w:tcPr>
            <w:tcW w:w="9072" w:type="dxa"/>
            <w:gridSpan w:val="7"/>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Young people achieving level 2 by the age of 19, including English and maths, by FSM eligibility</w:t>
            </w:r>
          </w:p>
        </w:tc>
      </w:tr>
      <w:tr w:rsidR="00712CD6" w:rsidRPr="006E2242" w:rsidTr="00A601A4">
        <w:tc>
          <w:tcPr>
            <w:tcW w:w="1418" w:type="dxa"/>
            <w:vMerge w:val="restart"/>
            <w:shd w:val="clear" w:color="auto" w:fill="575756"/>
          </w:tcPr>
          <w:p w:rsidR="007B7CDF" w:rsidRPr="00202013" w:rsidRDefault="007B7CDF" w:rsidP="005A49A9">
            <w:pPr>
              <w:spacing w:after="0"/>
              <w:rPr>
                <w:rFonts w:ascii="Arial" w:hAnsi="Arial" w:cs="Arial"/>
                <w:color w:val="FFFFFF" w:themeColor="background1"/>
                <w:sz w:val="24"/>
                <w:szCs w:val="24"/>
              </w:rPr>
            </w:pPr>
          </w:p>
        </w:tc>
        <w:tc>
          <w:tcPr>
            <w:tcW w:w="2551" w:type="dxa"/>
            <w:gridSpan w:val="2"/>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 xml:space="preserve">  All</w:t>
            </w:r>
          </w:p>
        </w:tc>
        <w:tc>
          <w:tcPr>
            <w:tcW w:w="2268" w:type="dxa"/>
            <w:gridSpan w:val="2"/>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Eligible for FSM</w:t>
            </w:r>
          </w:p>
        </w:tc>
        <w:tc>
          <w:tcPr>
            <w:tcW w:w="2835" w:type="dxa"/>
            <w:gridSpan w:val="2"/>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Not Eligible for FSM</w:t>
            </w:r>
          </w:p>
        </w:tc>
      </w:tr>
      <w:tr w:rsidR="00712CD6" w:rsidRPr="006E2242" w:rsidTr="00A601A4">
        <w:tc>
          <w:tcPr>
            <w:tcW w:w="1418" w:type="dxa"/>
            <w:vMerge/>
            <w:shd w:val="clear" w:color="auto" w:fill="575756"/>
          </w:tcPr>
          <w:p w:rsidR="00257C2B" w:rsidRPr="00202013" w:rsidRDefault="00257C2B" w:rsidP="00257C2B">
            <w:pPr>
              <w:spacing w:after="0"/>
              <w:rPr>
                <w:rFonts w:ascii="Arial" w:hAnsi="Arial" w:cs="Arial"/>
                <w:color w:val="FFFFFF" w:themeColor="background1"/>
                <w:sz w:val="24"/>
                <w:szCs w:val="24"/>
              </w:rPr>
            </w:pP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275"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c>
          <w:tcPr>
            <w:tcW w:w="1134"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134"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c>
          <w:tcPr>
            <w:tcW w:w="1418"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417"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r>
      <w:tr w:rsidR="00712CD6" w:rsidRPr="006E2242" w:rsidTr="00A601A4">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Lancashire</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71.</w:t>
            </w:r>
            <w:r w:rsidR="00712CD6">
              <w:rPr>
                <w:rFonts w:ascii="Arial" w:hAnsi="Arial" w:cs="Arial"/>
                <w:sz w:val="24"/>
                <w:szCs w:val="24"/>
              </w:rPr>
              <w:t>3</w:t>
            </w:r>
            <w:r w:rsidRPr="006E2242">
              <w:rPr>
                <w:rFonts w:ascii="Arial" w:hAnsi="Arial" w:cs="Arial"/>
                <w:sz w:val="24"/>
                <w:szCs w:val="24"/>
              </w:rPr>
              <w:t>%</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w:t>
            </w:r>
            <w:r w:rsidR="00712CD6">
              <w:rPr>
                <w:rFonts w:ascii="Arial" w:hAnsi="Arial" w:cs="Arial"/>
                <w:sz w:val="24"/>
                <w:szCs w:val="24"/>
              </w:rPr>
              <w:t>9,089</w:t>
            </w:r>
            <w:r w:rsidRPr="006E2242">
              <w:rPr>
                <w:rFonts w:ascii="Arial" w:hAnsi="Arial" w:cs="Arial"/>
                <w:sz w:val="24"/>
                <w:szCs w:val="24"/>
              </w:rPr>
              <w:t>)</w:t>
            </w:r>
          </w:p>
        </w:tc>
        <w:tc>
          <w:tcPr>
            <w:tcW w:w="1275" w:type="dxa"/>
            <w:shd w:val="clear" w:color="auto" w:fill="E0E0E0"/>
          </w:tcPr>
          <w:p w:rsidR="007B7CDF" w:rsidRPr="006E2242" w:rsidRDefault="00712CD6" w:rsidP="005A49A9">
            <w:pPr>
              <w:spacing w:after="0"/>
              <w:jc w:val="center"/>
              <w:rPr>
                <w:rFonts w:ascii="Arial" w:hAnsi="Arial" w:cs="Arial"/>
                <w:sz w:val="24"/>
                <w:szCs w:val="24"/>
              </w:rPr>
            </w:pPr>
            <w:r>
              <w:rPr>
                <w:rFonts w:ascii="Arial" w:hAnsi="Arial" w:cs="Arial"/>
                <w:sz w:val="24"/>
                <w:szCs w:val="24"/>
              </w:rPr>
              <w:t>70</w:t>
            </w:r>
            <w:r w:rsidR="007B7CDF" w:rsidRPr="006E2242">
              <w:rPr>
                <w:rFonts w:ascii="Arial" w:hAnsi="Arial" w:cs="Arial"/>
                <w:sz w:val="24"/>
                <w:szCs w:val="24"/>
              </w:rPr>
              <w:t>.3%</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w:t>
            </w:r>
            <w:r w:rsidR="00712CD6">
              <w:rPr>
                <w:rFonts w:ascii="Arial" w:hAnsi="Arial" w:cs="Arial"/>
                <w:sz w:val="24"/>
                <w:szCs w:val="24"/>
              </w:rPr>
              <w:t>8,903</w:t>
            </w:r>
            <w:r w:rsidRPr="006E2242">
              <w:rPr>
                <w:rFonts w:ascii="Arial" w:hAnsi="Arial" w:cs="Arial"/>
                <w:sz w:val="24"/>
                <w:szCs w:val="24"/>
              </w:rPr>
              <w:t>)</w:t>
            </w:r>
          </w:p>
        </w:tc>
        <w:tc>
          <w:tcPr>
            <w:tcW w:w="1134"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43.</w:t>
            </w:r>
            <w:r w:rsidR="00712CD6">
              <w:rPr>
                <w:rFonts w:ascii="Arial" w:hAnsi="Arial" w:cs="Arial"/>
                <w:sz w:val="24"/>
                <w:szCs w:val="24"/>
              </w:rPr>
              <w:t>2</w:t>
            </w:r>
            <w:r w:rsidRPr="006E2242">
              <w:rPr>
                <w:rFonts w:ascii="Arial" w:hAnsi="Arial" w:cs="Arial"/>
                <w:sz w:val="24"/>
                <w:szCs w:val="24"/>
              </w:rPr>
              <w:t>%</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w:t>
            </w:r>
            <w:r w:rsidR="00712CD6">
              <w:rPr>
                <w:rFonts w:ascii="Arial" w:hAnsi="Arial" w:cs="Arial"/>
                <w:sz w:val="24"/>
                <w:szCs w:val="24"/>
              </w:rPr>
              <w:t>680</w:t>
            </w:r>
            <w:r w:rsidRPr="006E2242">
              <w:rPr>
                <w:rFonts w:ascii="Arial" w:hAnsi="Arial" w:cs="Arial"/>
                <w:sz w:val="24"/>
                <w:szCs w:val="24"/>
              </w:rPr>
              <w:t>)</w:t>
            </w:r>
          </w:p>
        </w:tc>
        <w:tc>
          <w:tcPr>
            <w:tcW w:w="1134"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4</w:t>
            </w:r>
            <w:r w:rsidR="00712CD6">
              <w:rPr>
                <w:rFonts w:ascii="Arial" w:hAnsi="Arial" w:cs="Arial"/>
                <w:sz w:val="24"/>
                <w:szCs w:val="24"/>
              </w:rPr>
              <w:t>1.8</w:t>
            </w:r>
            <w:r w:rsidRPr="006E2242">
              <w:rPr>
                <w:rFonts w:ascii="Arial" w:hAnsi="Arial" w:cs="Arial"/>
                <w:sz w:val="24"/>
                <w:szCs w:val="24"/>
              </w:rPr>
              <w:t>%</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w:t>
            </w:r>
            <w:r w:rsidR="00712CD6">
              <w:rPr>
                <w:rFonts w:ascii="Arial" w:hAnsi="Arial" w:cs="Arial"/>
                <w:sz w:val="24"/>
                <w:szCs w:val="24"/>
              </w:rPr>
              <w:t>657</w:t>
            </w:r>
            <w:r w:rsidRPr="006E2242">
              <w:rPr>
                <w:rFonts w:ascii="Arial" w:hAnsi="Arial" w:cs="Arial"/>
                <w:sz w:val="24"/>
                <w:szCs w:val="24"/>
              </w:rPr>
              <w:t>)</w:t>
            </w:r>
          </w:p>
        </w:tc>
        <w:tc>
          <w:tcPr>
            <w:tcW w:w="1418"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7</w:t>
            </w:r>
            <w:r w:rsidR="00712CD6">
              <w:rPr>
                <w:rFonts w:ascii="Arial" w:hAnsi="Arial" w:cs="Arial"/>
                <w:sz w:val="24"/>
                <w:szCs w:val="24"/>
              </w:rPr>
              <w:t>5.3</w:t>
            </w:r>
            <w:r w:rsidRPr="006E2242">
              <w:rPr>
                <w:rFonts w:ascii="Arial" w:hAnsi="Arial" w:cs="Arial"/>
                <w:sz w:val="24"/>
                <w:szCs w:val="24"/>
              </w:rPr>
              <w:t>%</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(8,</w:t>
            </w:r>
            <w:r w:rsidR="00712CD6">
              <w:rPr>
                <w:rFonts w:ascii="Arial" w:hAnsi="Arial" w:cs="Arial"/>
                <w:sz w:val="24"/>
                <w:szCs w:val="24"/>
              </w:rPr>
              <w:t>409</w:t>
            </w:r>
            <w:r w:rsidRPr="006E2242">
              <w:rPr>
                <w:rFonts w:ascii="Arial" w:hAnsi="Arial" w:cs="Arial"/>
                <w:sz w:val="24"/>
                <w:szCs w:val="24"/>
              </w:rPr>
              <w:t>)</w:t>
            </w:r>
          </w:p>
        </w:tc>
        <w:tc>
          <w:tcPr>
            <w:tcW w:w="1417"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7</w:t>
            </w:r>
            <w:r w:rsidR="00712CD6">
              <w:rPr>
                <w:rFonts w:ascii="Arial" w:hAnsi="Arial" w:cs="Arial"/>
                <w:sz w:val="24"/>
                <w:szCs w:val="24"/>
              </w:rPr>
              <w:t>4</w:t>
            </w:r>
            <w:r w:rsidRPr="006E2242">
              <w:rPr>
                <w:rFonts w:ascii="Arial" w:hAnsi="Arial" w:cs="Arial"/>
                <w:sz w:val="24"/>
                <w:szCs w:val="24"/>
              </w:rPr>
              <w:t>.3%</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(8,</w:t>
            </w:r>
            <w:r w:rsidR="00712CD6">
              <w:rPr>
                <w:rFonts w:ascii="Arial" w:hAnsi="Arial" w:cs="Arial"/>
                <w:sz w:val="24"/>
                <w:szCs w:val="24"/>
              </w:rPr>
              <w:t>246</w:t>
            </w:r>
            <w:r w:rsidRPr="006E2242">
              <w:rPr>
                <w:rFonts w:ascii="Arial" w:hAnsi="Arial" w:cs="Arial"/>
                <w:sz w:val="24"/>
                <w:szCs w:val="24"/>
              </w:rPr>
              <w:t>)</w:t>
            </w:r>
          </w:p>
        </w:tc>
      </w:tr>
      <w:tr w:rsidR="00712CD6" w:rsidRPr="006E2242" w:rsidTr="00A601A4">
        <w:trPr>
          <w:trHeight w:val="77"/>
        </w:trPr>
        <w:tc>
          <w:tcPr>
            <w:tcW w:w="1418" w:type="dxa"/>
            <w:shd w:val="clear" w:color="auto" w:fill="575756"/>
          </w:tcPr>
          <w:p w:rsidR="007B7CDF" w:rsidRPr="00202013" w:rsidRDefault="007B7CDF" w:rsidP="005A49A9">
            <w:pPr>
              <w:spacing w:after="0"/>
              <w:rPr>
                <w:rFonts w:ascii="Arial" w:hAnsi="Arial" w:cs="Arial"/>
                <w:color w:val="FFFFFF" w:themeColor="background1"/>
                <w:sz w:val="24"/>
                <w:szCs w:val="24"/>
              </w:rPr>
            </w:pPr>
            <w:r w:rsidRPr="00202013">
              <w:rPr>
                <w:rFonts w:ascii="Arial" w:hAnsi="Arial" w:cs="Arial"/>
                <w:color w:val="FFFFFF" w:themeColor="background1"/>
                <w:sz w:val="24"/>
                <w:szCs w:val="24"/>
              </w:rPr>
              <w:t>North West</w:t>
            </w:r>
          </w:p>
        </w:tc>
        <w:tc>
          <w:tcPr>
            <w:tcW w:w="1276"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68.</w:t>
            </w:r>
            <w:r w:rsidR="00712CD6">
              <w:rPr>
                <w:rFonts w:ascii="Arial" w:hAnsi="Arial" w:cs="Arial"/>
                <w:color w:val="FFFFFF" w:themeColor="background1"/>
                <w:sz w:val="24"/>
                <w:szCs w:val="24"/>
              </w:rPr>
              <w:t>5</w:t>
            </w:r>
            <w:r w:rsidRPr="00202013">
              <w:rPr>
                <w:rFonts w:ascii="Arial" w:hAnsi="Arial" w:cs="Arial"/>
                <w:color w:val="FFFFFF" w:themeColor="background1"/>
                <w:sz w:val="24"/>
                <w:szCs w:val="24"/>
              </w:rPr>
              <w:t>%</w:t>
            </w:r>
          </w:p>
          <w:p w:rsidR="007B7CDF" w:rsidRPr="00202013" w:rsidRDefault="007B7CDF" w:rsidP="00712CD6">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712CD6">
              <w:rPr>
                <w:rFonts w:ascii="Arial" w:hAnsi="Arial" w:cs="Arial"/>
                <w:color w:val="FFFFFF" w:themeColor="background1"/>
                <w:sz w:val="24"/>
                <w:szCs w:val="24"/>
              </w:rPr>
              <w:t>53,085</w:t>
            </w:r>
            <w:r w:rsidRPr="00202013">
              <w:rPr>
                <w:rFonts w:ascii="Arial" w:hAnsi="Arial" w:cs="Arial"/>
                <w:color w:val="FFFFFF" w:themeColor="background1"/>
                <w:sz w:val="24"/>
                <w:szCs w:val="24"/>
              </w:rPr>
              <w:t>)</w:t>
            </w:r>
          </w:p>
        </w:tc>
        <w:tc>
          <w:tcPr>
            <w:tcW w:w="1275"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6</w:t>
            </w:r>
            <w:r w:rsidR="00712CD6">
              <w:rPr>
                <w:rFonts w:ascii="Arial" w:hAnsi="Arial" w:cs="Arial"/>
                <w:color w:val="FFFFFF" w:themeColor="background1"/>
                <w:sz w:val="24"/>
                <w:szCs w:val="24"/>
              </w:rPr>
              <w:t>7.6</w:t>
            </w:r>
            <w:r w:rsidRPr="00202013">
              <w:rPr>
                <w:rFonts w:ascii="Arial" w:hAnsi="Arial" w:cs="Arial"/>
                <w:color w:val="FFFFFF" w:themeColor="background1"/>
                <w:sz w:val="24"/>
                <w:szCs w:val="24"/>
              </w:rPr>
              <w:t>%</w:t>
            </w:r>
          </w:p>
          <w:p w:rsidR="007B7CDF" w:rsidRPr="00202013" w:rsidRDefault="007B7CDF" w:rsidP="00712CD6">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(5</w:t>
            </w:r>
            <w:r w:rsidR="00712CD6">
              <w:rPr>
                <w:rFonts w:ascii="Arial" w:hAnsi="Arial" w:cs="Arial"/>
                <w:color w:val="FFFFFF" w:themeColor="background1"/>
                <w:sz w:val="24"/>
                <w:szCs w:val="24"/>
              </w:rPr>
              <w:t>1,989</w:t>
            </w:r>
            <w:r w:rsidRPr="00202013">
              <w:rPr>
                <w:rFonts w:ascii="Arial" w:hAnsi="Arial" w:cs="Arial"/>
                <w:color w:val="FFFFFF" w:themeColor="background1"/>
                <w:sz w:val="24"/>
                <w:szCs w:val="24"/>
              </w:rPr>
              <w:t>)</w:t>
            </w:r>
          </w:p>
        </w:tc>
        <w:tc>
          <w:tcPr>
            <w:tcW w:w="1134"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4</w:t>
            </w:r>
            <w:r w:rsidR="00712CD6">
              <w:rPr>
                <w:rFonts w:ascii="Arial" w:hAnsi="Arial" w:cs="Arial"/>
                <w:color w:val="FFFFFF" w:themeColor="background1"/>
                <w:sz w:val="24"/>
                <w:szCs w:val="24"/>
              </w:rPr>
              <w:t>3.2</w:t>
            </w:r>
            <w:r w:rsidRPr="00202013">
              <w:rPr>
                <w:rFonts w:ascii="Arial" w:hAnsi="Arial" w:cs="Arial"/>
                <w:color w:val="FFFFFF" w:themeColor="background1"/>
                <w:sz w:val="24"/>
                <w:szCs w:val="24"/>
              </w:rPr>
              <w:t>%</w:t>
            </w:r>
          </w:p>
          <w:p w:rsidR="007B7CDF" w:rsidRPr="00202013" w:rsidRDefault="007B7CDF" w:rsidP="00712CD6">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712CD6">
              <w:rPr>
                <w:rFonts w:ascii="Arial" w:hAnsi="Arial" w:cs="Arial"/>
                <w:color w:val="FFFFFF" w:themeColor="background1"/>
                <w:sz w:val="24"/>
                <w:szCs w:val="24"/>
              </w:rPr>
              <w:t>5,492</w:t>
            </w:r>
            <w:r w:rsidRPr="00202013">
              <w:rPr>
                <w:rFonts w:ascii="Arial" w:hAnsi="Arial" w:cs="Arial"/>
                <w:color w:val="FFFFFF" w:themeColor="background1"/>
                <w:sz w:val="24"/>
                <w:szCs w:val="24"/>
              </w:rPr>
              <w:t>)</w:t>
            </w:r>
          </w:p>
        </w:tc>
        <w:tc>
          <w:tcPr>
            <w:tcW w:w="1134"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4</w:t>
            </w:r>
            <w:r w:rsidR="00712CD6">
              <w:rPr>
                <w:rFonts w:ascii="Arial" w:hAnsi="Arial" w:cs="Arial"/>
                <w:color w:val="FFFFFF" w:themeColor="background1"/>
                <w:sz w:val="24"/>
                <w:szCs w:val="24"/>
              </w:rPr>
              <w:t>1.5</w:t>
            </w:r>
            <w:r w:rsidRPr="00202013">
              <w:rPr>
                <w:rFonts w:ascii="Arial" w:hAnsi="Arial" w:cs="Arial"/>
                <w:color w:val="FFFFFF" w:themeColor="background1"/>
                <w:sz w:val="24"/>
                <w:szCs w:val="24"/>
              </w:rPr>
              <w:t>%</w:t>
            </w:r>
          </w:p>
          <w:p w:rsidR="007B7CDF" w:rsidRPr="00202013" w:rsidRDefault="007B7CDF" w:rsidP="00712CD6">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(5,</w:t>
            </w:r>
            <w:r w:rsidR="00712CD6">
              <w:rPr>
                <w:rFonts w:ascii="Arial" w:hAnsi="Arial" w:cs="Arial"/>
                <w:color w:val="FFFFFF" w:themeColor="background1"/>
                <w:sz w:val="24"/>
                <w:szCs w:val="24"/>
              </w:rPr>
              <w:t>070</w:t>
            </w:r>
            <w:r w:rsidRPr="00202013">
              <w:rPr>
                <w:rFonts w:ascii="Arial" w:hAnsi="Arial" w:cs="Arial"/>
                <w:color w:val="FFFFFF" w:themeColor="background1"/>
                <w:sz w:val="24"/>
                <w:szCs w:val="24"/>
              </w:rPr>
              <w:t>)</w:t>
            </w:r>
          </w:p>
        </w:tc>
        <w:tc>
          <w:tcPr>
            <w:tcW w:w="1418" w:type="dxa"/>
            <w:shd w:val="clear" w:color="auto" w:fill="575756"/>
          </w:tcPr>
          <w:p w:rsidR="007B7CDF" w:rsidRPr="00202013" w:rsidRDefault="00712CD6"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73.5</w:t>
            </w:r>
            <w:r w:rsidR="007B7CDF" w:rsidRPr="00202013">
              <w:rPr>
                <w:rFonts w:ascii="Arial" w:hAnsi="Arial" w:cs="Arial"/>
                <w:color w:val="FFFFFF" w:themeColor="background1"/>
                <w:sz w:val="24"/>
                <w:szCs w:val="24"/>
              </w:rPr>
              <w:t>%</w:t>
            </w:r>
          </w:p>
          <w:p w:rsidR="007B7CDF" w:rsidRPr="00202013" w:rsidRDefault="007B7CDF" w:rsidP="00712CD6">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(4</w:t>
            </w:r>
            <w:r w:rsidR="00712CD6">
              <w:rPr>
                <w:rFonts w:ascii="Arial" w:hAnsi="Arial" w:cs="Arial"/>
                <w:color w:val="FFFFFF" w:themeColor="background1"/>
                <w:sz w:val="24"/>
                <w:szCs w:val="24"/>
              </w:rPr>
              <w:t>7,600</w:t>
            </w:r>
            <w:r w:rsidRPr="00202013">
              <w:rPr>
                <w:rFonts w:ascii="Arial" w:hAnsi="Arial" w:cs="Arial"/>
                <w:color w:val="FFFFFF" w:themeColor="background1"/>
                <w:sz w:val="24"/>
                <w:szCs w:val="24"/>
              </w:rPr>
              <w:t>)</w:t>
            </w:r>
          </w:p>
        </w:tc>
        <w:tc>
          <w:tcPr>
            <w:tcW w:w="1417"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7</w:t>
            </w:r>
            <w:r w:rsidR="00712CD6">
              <w:rPr>
                <w:rFonts w:ascii="Arial" w:hAnsi="Arial" w:cs="Arial"/>
                <w:color w:val="FFFFFF" w:themeColor="background1"/>
                <w:sz w:val="24"/>
                <w:szCs w:val="24"/>
              </w:rPr>
              <w:t>2.6</w:t>
            </w:r>
            <w:r w:rsidRPr="00202013">
              <w:rPr>
                <w:rFonts w:ascii="Arial" w:hAnsi="Arial" w:cs="Arial"/>
                <w:color w:val="FFFFFF" w:themeColor="background1"/>
                <w:sz w:val="24"/>
                <w:szCs w:val="24"/>
              </w:rPr>
              <w:t>%</w:t>
            </w:r>
          </w:p>
          <w:p w:rsidR="007B7CDF" w:rsidRPr="00202013" w:rsidRDefault="007B7CDF" w:rsidP="00712CD6">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(4</w:t>
            </w:r>
            <w:r w:rsidR="00712CD6">
              <w:rPr>
                <w:rFonts w:ascii="Arial" w:hAnsi="Arial" w:cs="Arial"/>
                <w:color w:val="FFFFFF" w:themeColor="background1"/>
                <w:sz w:val="24"/>
                <w:szCs w:val="24"/>
              </w:rPr>
              <w:t>6,919</w:t>
            </w:r>
            <w:r w:rsidRPr="00202013">
              <w:rPr>
                <w:rFonts w:ascii="Arial" w:hAnsi="Arial" w:cs="Arial"/>
                <w:color w:val="FFFFFF" w:themeColor="background1"/>
                <w:sz w:val="24"/>
                <w:szCs w:val="24"/>
              </w:rPr>
              <w:t>)</w:t>
            </w:r>
          </w:p>
        </w:tc>
      </w:tr>
      <w:tr w:rsidR="00712CD6" w:rsidRPr="006E2242" w:rsidTr="00A601A4">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England</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68.</w:t>
            </w:r>
            <w:r w:rsidR="00712CD6">
              <w:rPr>
                <w:rFonts w:ascii="Arial" w:hAnsi="Arial" w:cs="Arial"/>
                <w:sz w:val="24"/>
                <w:szCs w:val="24"/>
              </w:rPr>
              <w:t>8</w:t>
            </w:r>
            <w:r w:rsidRPr="006E2242">
              <w:rPr>
                <w:rFonts w:ascii="Arial" w:hAnsi="Arial" w:cs="Arial"/>
                <w:sz w:val="24"/>
                <w:szCs w:val="24"/>
              </w:rPr>
              <w:t>%</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w:t>
            </w:r>
            <w:r w:rsidR="00712CD6">
              <w:rPr>
                <w:rFonts w:ascii="Arial" w:hAnsi="Arial" w:cs="Arial"/>
                <w:sz w:val="24"/>
                <w:szCs w:val="24"/>
              </w:rPr>
              <w:t>385,244)</w:t>
            </w:r>
          </w:p>
        </w:tc>
        <w:tc>
          <w:tcPr>
            <w:tcW w:w="1275"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712CD6">
              <w:rPr>
                <w:rFonts w:ascii="Arial" w:hAnsi="Arial" w:cs="Arial"/>
                <w:sz w:val="24"/>
                <w:szCs w:val="24"/>
              </w:rPr>
              <w:t>8.2</w:t>
            </w:r>
            <w:r w:rsidRPr="006E2242">
              <w:rPr>
                <w:rFonts w:ascii="Arial" w:hAnsi="Arial" w:cs="Arial"/>
                <w:sz w:val="24"/>
                <w:szCs w:val="24"/>
              </w:rPr>
              <w:t>%</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w:t>
            </w:r>
            <w:r w:rsidR="00712CD6">
              <w:rPr>
                <w:rFonts w:ascii="Arial" w:hAnsi="Arial" w:cs="Arial"/>
                <w:sz w:val="24"/>
                <w:szCs w:val="24"/>
              </w:rPr>
              <w:t>378,476</w:t>
            </w:r>
            <w:r w:rsidRPr="006E2242">
              <w:rPr>
                <w:rFonts w:ascii="Arial" w:hAnsi="Arial" w:cs="Arial"/>
                <w:sz w:val="24"/>
                <w:szCs w:val="24"/>
              </w:rPr>
              <w:t>)</w:t>
            </w:r>
          </w:p>
        </w:tc>
        <w:tc>
          <w:tcPr>
            <w:tcW w:w="1134"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4</w:t>
            </w:r>
            <w:r w:rsidR="00712CD6">
              <w:rPr>
                <w:rFonts w:ascii="Arial" w:hAnsi="Arial" w:cs="Arial"/>
                <w:sz w:val="24"/>
                <w:szCs w:val="24"/>
              </w:rPr>
              <w:t>4</w:t>
            </w:r>
            <w:r w:rsidRPr="006E2242">
              <w:rPr>
                <w:rFonts w:ascii="Arial" w:hAnsi="Arial" w:cs="Arial"/>
                <w:sz w:val="24"/>
                <w:szCs w:val="24"/>
              </w:rPr>
              <w:t>.8%</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w:t>
            </w:r>
            <w:r w:rsidR="00712CD6">
              <w:rPr>
                <w:rFonts w:ascii="Arial" w:hAnsi="Arial" w:cs="Arial"/>
                <w:sz w:val="24"/>
                <w:szCs w:val="24"/>
              </w:rPr>
              <w:t>36,360</w:t>
            </w:r>
            <w:r w:rsidRPr="006E2242">
              <w:rPr>
                <w:rFonts w:ascii="Arial" w:hAnsi="Arial" w:cs="Arial"/>
                <w:sz w:val="24"/>
                <w:szCs w:val="24"/>
              </w:rPr>
              <w:t>)</w:t>
            </w:r>
          </w:p>
        </w:tc>
        <w:tc>
          <w:tcPr>
            <w:tcW w:w="1134"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4</w:t>
            </w:r>
            <w:r w:rsidR="00712CD6">
              <w:rPr>
                <w:rFonts w:ascii="Arial" w:hAnsi="Arial" w:cs="Arial"/>
                <w:sz w:val="24"/>
                <w:szCs w:val="24"/>
              </w:rPr>
              <w:t>3.5</w:t>
            </w:r>
            <w:r w:rsidRPr="006E2242">
              <w:rPr>
                <w:rFonts w:ascii="Arial" w:hAnsi="Arial" w:cs="Arial"/>
                <w:sz w:val="24"/>
                <w:szCs w:val="24"/>
              </w:rPr>
              <w:t>%</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w:t>
            </w:r>
            <w:r w:rsidR="00712CD6">
              <w:rPr>
                <w:rFonts w:ascii="Arial" w:hAnsi="Arial" w:cs="Arial"/>
                <w:sz w:val="24"/>
                <w:szCs w:val="24"/>
              </w:rPr>
              <w:t>33,452</w:t>
            </w:r>
            <w:r w:rsidRPr="006E2242">
              <w:rPr>
                <w:rFonts w:ascii="Arial" w:hAnsi="Arial" w:cs="Arial"/>
                <w:sz w:val="24"/>
                <w:szCs w:val="24"/>
              </w:rPr>
              <w:t>)</w:t>
            </w:r>
          </w:p>
        </w:tc>
        <w:tc>
          <w:tcPr>
            <w:tcW w:w="1418"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7</w:t>
            </w:r>
            <w:r w:rsidR="00712CD6">
              <w:rPr>
                <w:rFonts w:ascii="Arial" w:hAnsi="Arial" w:cs="Arial"/>
                <w:sz w:val="24"/>
                <w:szCs w:val="24"/>
              </w:rPr>
              <w:t>2</w:t>
            </w:r>
            <w:r w:rsidRPr="006E2242">
              <w:rPr>
                <w:rFonts w:ascii="Arial" w:hAnsi="Arial" w:cs="Arial"/>
                <w:sz w:val="24"/>
                <w:szCs w:val="24"/>
              </w:rPr>
              <w:t>.8%</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w:t>
            </w:r>
            <w:r w:rsidR="00712CD6">
              <w:rPr>
                <w:rFonts w:ascii="Arial" w:hAnsi="Arial" w:cs="Arial"/>
                <w:sz w:val="24"/>
                <w:szCs w:val="24"/>
              </w:rPr>
              <w:t>348,884</w:t>
            </w:r>
            <w:r w:rsidRPr="006E2242">
              <w:rPr>
                <w:rFonts w:ascii="Arial" w:hAnsi="Arial" w:cs="Arial"/>
                <w:sz w:val="24"/>
                <w:szCs w:val="24"/>
              </w:rPr>
              <w:t>)</w:t>
            </w:r>
          </w:p>
        </w:tc>
        <w:tc>
          <w:tcPr>
            <w:tcW w:w="1417"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72.</w:t>
            </w:r>
            <w:r w:rsidR="00712CD6">
              <w:rPr>
                <w:rFonts w:ascii="Arial" w:hAnsi="Arial" w:cs="Arial"/>
                <w:sz w:val="24"/>
                <w:szCs w:val="24"/>
              </w:rPr>
              <w:t>2</w:t>
            </w:r>
            <w:r w:rsidRPr="006E2242">
              <w:rPr>
                <w:rFonts w:ascii="Arial" w:hAnsi="Arial" w:cs="Arial"/>
                <w:sz w:val="24"/>
                <w:szCs w:val="24"/>
              </w:rPr>
              <w:t>%</w:t>
            </w:r>
          </w:p>
          <w:p w:rsidR="007B7CDF" w:rsidRPr="006E2242" w:rsidRDefault="007B7CDF" w:rsidP="00712CD6">
            <w:pPr>
              <w:spacing w:after="0"/>
              <w:jc w:val="center"/>
              <w:rPr>
                <w:rFonts w:ascii="Arial" w:hAnsi="Arial" w:cs="Arial"/>
                <w:sz w:val="24"/>
                <w:szCs w:val="24"/>
              </w:rPr>
            </w:pPr>
            <w:r w:rsidRPr="006E2242">
              <w:rPr>
                <w:rFonts w:ascii="Arial" w:hAnsi="Arial" w:cs="Arial"/>
                <w:sz w:val="24"/>
                <w:szCs w:val="24"/>
              </w:rPr>
              <w:t>(</w:t>
            </w:r>
            <w:r w:rsidR="00712CD6">
              <w:rPr>
                <w:rFonts w:ascii="Arial" w:hAnsi="Arial" w:cs="Arial"/>
                <w:sz w:val="24"/>
                <w:szCs w:val="24"/>
              </w:rPr>
              <w:t>345,024</w:t>
            </w:r>
            <w:r w:rsidRPr="006E2242">
              <w:rPr>
                <w:rFonts w:ascii="Arial" w:hAnsi="Arial" w:cs="Arial"/>
                <w:sz w:val="24"/>
                <w:szCs w:val="24"/>
              </w:rPr>
              <w:t>)</w:t>
            </w:r>
          </w:p>
        </w:tc>
      </w:tr>
    </w:tbl>
    <w:p w:rsidR="007B7CDF" w:rsidRPr="009D3600" w:rsidRDefault="007B7CDF" w:rsidP="007B7CDF">
      <w:pPr>
        <w:spacing w:after="0"/>
        <w:rPr>
          <w:rFonts w:ascii="Arial" w:hAnsi="Arial" w:cs="Arial"/>
          <w:sz w:val="24"/>
          <w:szCs w:val="24"/>
        </w:rPr>
      </w:pPr>
    </w:p>
    <w:p w:rsidR="007B7CDF" w:rsidRPr="00844E90" w:rsidRDefault="007B7CDF" w:rsidP="007B7CDF">
      <w:pPr>
        <w:numPr>
          <w:ilvl w:val="0"/>
          <w:numId w:val="22"/>
        </w:numPr>
        <w:autoSpaceDE w:val="0"/>
        <w:autoSpaceDN w:val="0"/>
        <w:adjustRightInd w:val="0"/>
        <w:spacing w:after="0" w:line="240" w:lineRule="auto"/>
        <w:rPr>
          <w:rFonts w:ascii="Arial" w:hAnsi="Arial" w:cs="Arial"/>
          <w:sz w:val="24"/>
          <w:szCs w:val="24"/>
        </w:rPr>
      </w:pPr>
      <w:r w:rsidRPr="00844E90">
        <w:rPr>
          <w:rFonts w:ascii="Arial" w:hAnsi="Arial" w:cs="Arial"/>
          <w:sz w:val="24"/>
          <w:szCs w:val="24"/>
        </w:rPr>
        <w:t xml:space="preserve">Whilst Lancashire is above the North West and England positions for all young people and for </w:t>
      </w:r>
      <w:r w:rsidR="00594556">
        <w:rPr>
          <w:rFonts w:ascii="Arial" w:hAnsi="Arial" w:cs="Arial"/>
          <w:sz w:val="24"/>
          <w:szCs w:val="24"/>
        </w:rPr>
        <w:t>young people</w:t>
      </w:r>
      <w:r w:rsidRPr="00844E90">
        <w:rPr>
          <w:rFonts w:ascii="Arial" w:hAnsi="Arial" w:cs="Arial"/>
          <w:sz w:val="24"/>
          <w:szCs w:val="24"/>
        </w:rPr>
        <w:t xml:space="preserve"> not eligible for FSM, it </w:t>
      </w:r>
      <w:r w:rsidR="00844E90" w:rsidRPr="00844E90">
        <w:rPr>
          <w:rFonts w:ascii="Arial" w:hAnsi="Arial" w:cs="Arial"/>
          <w:sz w:val="24"/>
          <w:szCs w:val="24"/>
        </w:rPr>
        <w:t xml:space="preserve">remains </w:t>
      </w:r>
      <w:r w:rsidRPr="00844E90">
        <w:rPr>
          <w:rFonts w:ascii="Arial" w:hAnsi="Arial" w:cs="Arial"/>
          <w:sz w:val="24"/>
          <w:szCs w:val="24"/>
        </w:rPr>
        <w:t xml:space="preserve">below the England position for </w:t>
      </w:r>
      <w:r w:rsidR="00594556">
        <w:rPr>
          <w:rFonts w:ascii="Arial" w:hAnsi="Arial" w:cs="Arial"/>
          <w:sz w:val="24"/>
          <w:szCs w:val="24"/>
        </w:rPr>
        <w:t>young people</w:t>
      </w:r>
      <w:r w:rsidRPr="00844E90">
        <w:rPr>
          <w:rFonts w:ascii="Arial" w:hAnsi="Arial" w:cs="Arial"/>
          <w:sz w:val="24"/>
          <w:szCs w:val="24"/>
        </w:rPr>
        <w:t xml:space="preserve"> eligible for FSM</w:t>
      </w:r>
    </w:p>
    <w:p w:rsidR="007B7CDF" w:rsidRPr="00594556" w:rsidRDefault="007B7CDF" w:rsidP="007B7CDF">
      <w:pPr>
        <w:numPr>
          <w:ilvl w:val="0"/>
          <w:numId w:val="22"/>
        </w:numPr>
        <w:autoSpaceDE w:val="0"/>
        <w:autoSpaceDN w:val="0"/>
        <w:adjustRightInd w:val="0"/>
        <w:spacing w:after="0" w:line="240" w:lineRule="auto"/>
        <w:rPr>
          <w:rFonts w:ascii="Arial" w:hAnsi="Arial" w:cs="Arial"/>
          <w:sz w:val="24"/>
          <w:szCs w:val="24"/>
        </w:rPr>
      </w:pPr>
      <w:r w:rsidRPr="00594556">
        <w:rPr>
          <w:rFonts w:ascii="Arial" w:hAnsi="Arial" w:cs="Arial"/>
          <w:sz w:val="24"/>
          <w:szCs w:val="24"/>
        </w:rPr>
        <w:t>There have been slight reductions in the percentage of young people achieving in all three categories for Lancashire</w:t>
      </w:r>
      <w:r w:rsidR="00594556" w:rsidRPr="00594556">
        <w:rPr>
          <w:rFonts w:ascii="Arial" w:hAnsi="Arial" w:cs="Arial"/>
          <w:sz w:val="24"/>
          <w:szCs w:val="24"/>
        </w:rPr>
        <w:t>, with the largest reduction being for young people eligible for FSM</w:t>
      </w:r>
      <w:r w:rsidR="00594556">
        <w:rPr>
          <w:rFonts w:ascii="Arial" w:hAnsi="Arial" w:cs="Arial"/>
          <w:sz w:val="24"/>
          <w:szCs w:val="24"/>
        </w:rPr>
        <w:t>.  The reductions in all three categories are broadly in line with the North West and England reductions</w:t>
      </w:r>
    </w:p>
    <w:p w:rsidR="007B7CDF" w:rsidRPr="009D3600" w:rsidRDefault="00A46DCE" w:rsidP="007B7CDF">
      <w:pPr>
        <w:numPr>
          <w:ilvl w:val="0"/>
          <w:numId w:val="22"/>
        </w:numPr>
        <w:autoSpaceDE w:val="0"/>
        <w:autoSpaceDN w:val="0"/>
        <w:adjustRightInd w:val="0"/>
        <w:spacing w:after="0" w:line="240" w:lineRule="auto"/>
        <w:rPr>
          <w:rFonts w:ascii="Arial" w:hAnsi="Arial" w:cs="Arial"/>
          <w:sz w:val="24"/>
          <w:szCs w:val="24"/>
        </w:rPr>
      </w:pPr>
      <w:r w:rsidRPr="00844E90">
        <w:rPr>
          <w:rFonts w:ascii="Arial" w:hAnsi="Arial" w:cs="Arial"/>
          <w:sz w:val="24"/>
          <w:szCs w:val="24"/>
        </w:rPr>
        <w:t xml:space="preserve">At </w:t>
      </w:r>
      <w:r>
        <w:rPr>
          <w:rFonts w:ascii="Arial" w:hAnsi="Arial" w:cs="Arial"/>
          <w:sz w:val="24"/>
          <w:szCs w:val="24"/>
        </w:rPr>
        <w:t>32.5</w:t>
      </w:r>
      <w:r w:rsidRPr="00844E90">
        <w:rPr>
          <w:rFonts w:ascii="Arial" w:hAnsi="Arial" w:cs="Arial"/>
          <w:sz w:val="24"/>
          <w:szCs w:val="24"/>
        </w:rPr>
        <w:t xml:space="preserve"> percentage points, the attainment gap between </w:t>
      </w:r>
      <w:r>
        <w:rPr>
          <w:rFonts w:ascii="Arial" w:hAnsi="Arial" w:cs="Arial"/>
          <w:sz w:val="24"/>
          <w:szCs w:val="24"/>
        </w:rPr>
        <w:t>young people</w:t>
      </w:r>
      <w:r w:rsidRPr="00844E90">
        <w:rPr>
          <w:rFonts w:ascii="Arial" w:hAnsi="Arial" w:cs="Arial"/>
          <w:sz w:val="24"/>
          <w:szCs w:val="24"/>
        </w:rPr>
        <w:t xml:space="preserve"> eligible and not eligible for FSM</w:t>
      </w:r>
      <w:r>
        <w:rPr>
          <w:rFonts w:ascii="Arial" w:hAnsi="Arial" w:cs="Arial"/>
          <w:sz w:val="24"/>
          <w:szCs w:val="24"/>
        </w:rPr>
        <w:t xml:space="preserve"> in Lancashire</w:t>
      </w:r>
      <w:r w:rsidRPr="00844E90">
        <w:rPr>
          <w:rFonts w:ascii="Arial" w:hAnsi="Arial" w:cs="Arial"/>
          <w:sz w:val="24"/>
          <w:szCs w:val="24"/>
        </w:rPr>
        <w:t xml:space="preserve"> has increased </w:t>
      </w:r>
      <w:r>
        <w:rPr>
          <w:rFonts w:ascii="Arial" w:hAnsi="Arial" w:cs="Arial"/>
          <w:sz w:val="24"/>
          <w:szCs w:val="24"/>
        </w:rPr>
        <w:t xml:space="preserve">slightly </w:t>
      </w:r>
      <w:r w:rsidRPr="00844E90">
        <w:rPr>
          <w:rFonts w:ascii="Arial" w:hAnsi="Arial" w:cs="Arial"/>
          <w:sz w:val="24"/>
          <w:szCs w:val="24"/>
        </w:rPr>
        <w:t xml:space="preserve">compared to 2017 when it was </w:t>
      </w:r>
      <w:r>
        <w:rPr>
          <w:rFonts w:ascii="Arial" w:hAnsi="Arial" w:cs="Arial"/>
          <w:sz w:val="24"/>
          <w:szCs w:val="24"/>
        </w:rPr>
        <w:t>32.1</w:t>
      </w:r>
      <w:r w:rsidRPr="00844E90">
        <w:rPr>
          <w:rFonts w:ascii="Arial" w:hAnsi="Arial" w:cs="Arial"/>
          <w:sz w:val="24"/>
          <w:szCs w:val="24"/>
        </w:rPr>
        <w:t xml:space="preserve"> percentage points.  The attainment gap in Lancashire is greater than th</w:t>
      </w:r>
      <w:r>
        <w:rPr>
          <w:rFonts w:ascii="Arial" w:hAnsi="Arial" w:cs="Arial"/>
          <w:sz w:val="24"/>
          <w:szCs w:val="24"/>
        </w:rPr>
        <w:t>ose</w:t>
      </w:r>
      <w:r w:rsidRPr="00844E90">
        <w:rPr>
          <w:rFonts w:ascii="Arial" w:hAnsi="Arial" w:cs="Arial"/>
          <w:sz w:val="24"/>
          <w:szCs w:val="24"/>
        </w:rPr>
        <w:t xml:space="preserve"> for the North West and England, </w:t>
      </w:r>
      <w:r w:rsidR="00561D52">
        <w:rPr>
          <w:rFonts w:ascii="Arial" w:hAnsi="Arial" w:cs="Arial"/>
          <w:sz w:val="24"/>
          <w:szCs w:val="24"/>
        </w:rPr>
        <w:t xml:space="preserve"> both of which </w:t>
      </w:r>
      <w:r w:rsidRPr="00844E90">
        <w:rPr>
          <w:rFonts w:ascii="Arial" w:hAnsi="Arial" w:cs="Arial"/>
          <w:sz w:val="24"/>
          <w:szCs w:val="24"/>
        </w:rPr>
        <w:t xml:space="preserve">have also increased </w:t>
      </w:r>
      <w:r>
        <w:rPr>
          <w:rFonts w:ascii="Arial" w:hAnsi="Arial" w:cs="Arial"/>
          <w:sz w:val="24"/>
          <w:szCs w:val="24"/>
        </w:rPr>
        <w:t xml:space="preserve">slightly </w:t>
      </w:r>
      <w:r w:rsidRPr="00844E90">
        <w:rPr>
          <w:rFonts w:ascii="Arial" w:hAnsi="Arial" w:cs="Arial"/>
          <w:sz w:val="24"/>
          <w:szCs w:val="24"/>
        </w:rPr>
        <w:t>compared to 2017</w:t>
      </w:r>
      <w:r w:rsidR="007B7CDF" w:rsidRPr="009D3600">
        <w:rPr>
          <w:rFonts w:ascii="Arial" w:hAnsi="Arial" w:cs="Arial"/>
          <w:sz w:val="24"/>
          <w:szCs w:val="24"/>
        </w:rPr>
        <w:br/>
      </w:r>
    </w:p>
    <w:tbl>
      <w:tblPr>
        <w:tblW w:w="9072" w:type="dxa"/>
        <w:tblLook w:val="04A0" w:firstRow="1" w:lastRow="0" w:firstColumn="1" w:lastColumn="0" w:noHBand="0" w:noVBand="1"/>
      </w:tblPr>
      <w:tblGrid>
        <w:gridCol w:w="1418"/>
        <w:gridCol w:w="1276"/>
        <w:gridCol w:w="1275"/>
        <w:gridCol w:w="1276"/>
        <w:gridCol w:w="1134"/>
        <w:gridCol w:w="1276"/>
        <w:gridCol w:w="1417"/>
      </w:tblGrid>
      <w:tr w:rsidR="007B7CDF" w:rsidRPr="008E2ACA" w:rsidTr="00A601A4">
        <w:tc>
          <w:tcPr>
            <w:tcW w:w="9072" w:type="dxa"/>
            <w:gridSpan w:val="7"/>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Young people achieving level 2 by the age of 19, by SEN status in Year 11</w:t>
            </w:r>
          </w:p>
        </w:tc>
      </w:tr>
      <w:tr w:rsidR="007B7CDF" w:rsidRPr="006E2242" w:rsidTr="00A601A4">
        <w:tc>
          <w:tcPr>
            <w:tcW w:w="1418" w:type="dxa"/>
            <w:vMerge w:val="restart"/>
            <w:shd w:val="clear" w:color="auto" w:fill="575756"/>
          </w:tcPr>
          <w:p w:rsidR="007B7CDF" w:rsidRPr="00202013" w:rsidRDefault="007B7CDF" w:rsidP="005A49A9">
            <w:pPr>
              <w:spacing w:after="0"/>
              <w:rPr>
                <w:rFonts w:ascii="Arial" w:hAnsi="Arial" w:cs="Arial"/>
                <w:color w:val="FFFFFF" w:themeColor="background1"/>
                <w:sz w:val="24"/>
                <w:szCs w:val="24"/>
              </w:rPr>
            </w:pPr>
          </w:p>
        </w:tc>
        <w:tc>
          <w:tcPr>
            <w:tcW w:w="2551" w:type="dxa"/>
            <w:gridSpan w:val="2"/>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All</w:t>
            </w:r>
          </w:p>
        </w:tc>
        <w:tc>
          <w:tcPr>
            <w:tcW w:w="2410" w:type="dxa"/>
            <w:gridSpan w:val="2"/>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All SEN Pupils</w:t>
            </w:r>
          </w:p>
        </w:tc>
        <w:tc>
          <w:tcPr>
            <w:tcW w:w="2693" w:type="dxa"/>
            <w:gridSpan w:val="2"/>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No Identified SEN</w:t>
            </w:r>
          </w:p>
        </w:tc>
      </w:tr>
      <w:tr w:rsidR="00257C2B" w:rsidRPr="006E2242" w:rsidTr="00A601A4">
        <w:tc>
          <w:tcPr>
            <w:tcW w:w="1418" w:type="dxa"/>
            <w:vMerge/>
            <w:shd w:val="clear" w:color="auto" w:fill="575756"/>
          </w:tcPr>
          <w:p w:rsidR="00257C2B" w:rsidRPr="00202013" w:rsidRDefault="00257C2B" w:rsidP="00257C2B">
            <w:pPr>
              <w:spacing w:after="0"/>
              <w:rPr>
                <w:rFonts w:ascii="Arial" w:hAnsi="Arial" w:cs="Arial"/>
                <w:color w:val="FFFFFF" w:themeColor="background1"/>
                <w:sz w:val="24"/>
                <w:szCs w:val="24"/>
              </w:rPr>
            </w:pP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275"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134"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417"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r>
      <w:tr w:rsidR="007B7CDF" w:rsidRPr="006E2242" w:rsidTr="00A601A4">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Lancashire</w:t>
            </w:r>
          </w:p>
        </w:tc>
        <w:tc>
          <w:tcPr>
            <w:tcW w:w="1276" w:type="dxa"/>
            <w:shd w:val="clear" w:color="auto" w:fill="E0E0E0"/>
          </w:tcPr>
          <w:p w:rsidR="007B7CDF" w:rsidRPr="006E2242" w:rsidRDefault="00712CD6" w:rsidP="005A49A9">
            <w:pPr>
              <w:spacing w:after="0"/>
              <w:jc w:val="center"/>
              <w:rPr>
                <w:rFonts w:ascii="Arial" w:hAnsi="Arial" w:cs="Arial"/>
                <w:sz w:val="24"/>
                <w:szCs w:val="24"/>
              </w:rPr>
            </w:pPr>
            <w:r>
              <w:rPr>
                <w:rFonts w:ascii="Arial" w:hAnsi="Arial" w:cs="Arial"/>
                <w:sz w:val="24"/>
                <w:szCs w:val="24"/>
              </w:rPr>
              <w:t>85.7</w:t>
            </w:r>
            <w:r w:rsidR="007B7CDF"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10,914</w:t>
            </w:r>
            <w:r w:rsidRPr="006E2242">
              <w:rPr>
                <w:rFonts w:ascii="Arial" w:hAnsi="Arial" w:cs="Arial"/>
                <w:sz w:val="24"/>
                <w:szCs w:val="24"/>
              </w:rPr>
              <w:t>)</w:t>
            </w:r>
          </w:p>
        </w:tc>
        <w:tc>
          <w:tcPr>
            <w:tcW w:w="1275"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8</w:t>
            </w:r>
            <w:r w:rsidR="00712CD6">
              <w:rPr>
                <w:rFonts w:ascii="Arial" w:hAnsi="Arial" w:cs="Arial"/>
                <w:sz w:val="24"/>
                <w:szCs w:val="24"/>
              </w:rPr>
              <w:t>2.4</w:t>
            </w:r>
            <w:r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10,437</w:t>
            </w:r>
            <w:r w:rsidRPr="006E2242">
              <w:rPr>
                <w:rFonts w:ascii="Arial" w:hAnsi="Arial" w:cs="Arial"/>
                <w:sz w:val="24"/>
                <w:szCs w:val="24"/>
              </w:rPr>
              <w:t>)</w:t>
            </w:r>
          </w:p>
        </w:tc>
        <w:tc>
          <w:tcPr>
            <w:tcW w:w="1276" w:type="dxa"/>
            <w:shd w:val="clear" w:color="auto" w:fill="E0E0E0"/>
          </w:tcPr>
          <w:p w:rsidR="007B7CDF" w:rsidRPr="006E2242" w:rsidRDefault="00406B12" w:rsidP="005A49A9">
            <w:pPr>
              <w:spacing w:after="0"/>
              <w:jc w:val="center"/>
              <w:rPr>
                <w:rFonts w:ascii="Arial" w:hAnsi="Arial" w:cs="Arial"/>
                <w:sz w:val="24"/>
                <w:szCs w:val="24"/>
              </w:rPr>
            </w:pPr>
            <w:r>
              <w:rPr>
                <w:rFonts w:ascii="Arial" w:hAnsi="Arial" w:cs="Arial"/>
                <w:sz w:val="24"/>
                <w:szCs w:val="24"/>
              </w:rPr>
              <w:t>59.2</w:t>
            </w:r>
            <w:r w:rsidR="007B7CDF"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1,091</w:t>
            </w:r>
            <w:r w:rsidRPr="006E2242">
              <w:rPr>
                <w:rFonts w:ascii="Arial" w:hAnsi="Arial" w:cs="Arial"/>
                <w:sz w:val="24"/>
                <w:szCs w:val="24"/>
              </w:rPr>
              <w:t>)</w:t>
            </w:r>
          </w:p>
        </w:tc>
        <w:tc>
          <w:tcPr>
            <w:tcW w:w="1134"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5</w:t>
            </w:r>
            <w:r w:rsidR="00406B12">
              <w:rPr>
                <w:rFonts w:ascii="Arial" w:hAnsi="Arial" w:cs="Arial"/>
                <w:sz w:val="24"/>
                <w:szCs w:val="24"/>
              </w:rPr>
              <w:t>0.5</w:t>
            </w:r>
            <w:r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749</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9</w:t>
            </w:r>
            <w:r w:rsidR="00406B12">
              <w:rPr>
                <w:rFonts w:ascii="Arial" w:hAnsi="Arial" w:cs="Arial"/>
                <w:sz w:val="24"/>
                <w:szCs w:val="24"/>
              </w:rPr>
              <w:t>0.1</w:t>
            </w:r>
            <w:r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9,823</w:t>
            </w:r>
            <w:r w:rsidRPr="006E2242">
              <w:rPr>
                <w:rFonts w:ascii="Arial" w:hAnsi="Arial" w:cs="Arial"/>
                <w:sz w:val="24"/>
                <w:szCs w:val="24"/>
              </w:rPr>
              <w:t>)</w:t>
            </w:r>
          </w:p>
        </w:tc>
        <w:tc>
          <w:tcPr>
            <w:tcW w:w="1417" w:type="dxa"/>
            <w:shd w:val="clear" w:color="auto" w:fill="E0E0E0"/>
          </w:tcPr>
          <w:p w:rsidR="007B7CDF" w:rsidRPr="006E2242" w:rsidRDefault="00406B12" w:rsidP="005A49A9">
            <w:pPr>
              <w:spacing w:after="0"/>
              <w:jc w:val="center"/>
              <w:rPr>
                <w:rFonts w:ascii="Arial" w:hAnsi="Arial" w:cs="Arial"/>
                <w:sz w:val="24"/>
                <w:szCs w:val="24"/>
              </w:rPr>
            </w:pPr>
            <w:r>
              <w:rPr>
                <w:rFonts w:ascii="Arial" w:hAnsi="Arial" w:cs="Arial"/>
                <w:sz w:val="24"/>
                <w:szCs w:val="24"/>
              </w:rPr>
              <w:t>86.6</w:t>
            </w:r>
            <w:r w:rsidR="007B7CDF"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9,688</w:t>
            </w:r>
            <w:r w:rsidRPr="006E2242">
              <w:rPr>
                <w:rFonts w:ascii="Arial" w:hAnsi="Arial" w:cs="Arial"/>
                <w:sz w:val="24"/>
                <w:szCs w:val="24"/>
              </w:rPr>
              <w:t>)</w:t>
            </w:r>
          </w:p>
        </w:tc>
      </w:tr>
      <w:tr w:rsidR="007B7CDF" w:rsidRPr="006E2242" w:rsidTr="00A601A4">
        <w:tc>
          <w:tcPr>
            <w:tcW w:w="1418" w:type="dxa"/>
            <w:shd w:val="clear" w:color="auto" w:fill="575756"/>
          </w:tcPr>
          <w:p w:rsidR="007B7CDF" w:rsidRPr="00202013" w:rsidRDefault="007B7CDF" w:rsidP="005A49A9">
            <w:pPr>
              <w:spacing w:after="0"/>
              <w:rPr>
                <w:rFonts w:ascii="Arial" w:hAnsi="Arial" w:cs="Arial"/>
                <w:color w:val="FFFFFF" w:themeColor="background1"/>
                <w:sz w:val="24"/>
                <w:szCs w:val="24"/>
              </w:rPr>
            </w:pPr>
            <w:r w:rsidRPr="00202013">
              <w:rPr>
                <w:rFonts w:ascii="Arial" w:hAnsi="Arial" w:cs="Arial"/>
                <w:color w:val="FFFFFF" w:themeColor="background1"/>
                <w:sz w:val="24"/>
                <w:szCs w:val="24"/>
              </w:rPr>
              <w:t>North West</w:t>
            </w:r>
          </w:p>
        </w:tc>
        <w:tc>
          <w:tcPr>
            <w:tcW w:w="1276" w:type="dxa"/>
            <w:shd w:val="clear" w:color="auto" w:fill="575756"/>
          </w:tcPr>
          <w:p w:rsidR="007B7CDF" w:rsidRPr="00202013" w:rsidRDefault="005A3968"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83.9</w:t>
            </w:r>
            <w:r w:rsidR="007B7CDF" w:rsidRPr="00202013">
              <w:rPr>
                <w:rFonts w:ascii="Arial" w:hAnsi="Arial" w:cs="Arial"/>
                <w:color w:val="FFFFFF" w:themeColor="background1"/>
                <w:sz w:val="24"/>
                <w:szCs w:val="24"/>
              </w:rPr>
              <w:t>%</w:t>
            </w:r>
          </w:p>
          <w:p w:rsidR="007B7CDF" w:rsidRPr="00202013" w:rsidRDefault="007B7CDF" w:rsidP="005A3968">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5A3968">
              <w:rPr>
                <w:rFonts w:ascii="Arial" w:hAnsi="Arial" w:cs="Arial"/>
                <w:color w:val="FFFFFF" w:themeColor="background1"/>
                <w:sz w:val="24"/>
                <w:szCs w:val="24"/>
              </w:rPr>
              <w:t>65,025</w:t>
            </w:r>
            <w:r w:rsidRPr="00202013">
              <w:rPr>
                <w:rFonts w:ascii="Arial" w:hAnsi="Arial" w:cs="Arial"/>
                <w:color w:val="FFFFFF" w:themeColor="background1"/>
                <w:sz w:val="24"/>
                <w:szCs w:val="24"/>
              </w:rPr>
              <w:t>)</w:t>
            </w:r>
          </w:p>
        </w:tc>
        <w:tc>
          <w:tcPr>
            <w:tcW w:w="1275"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8</w:t>
            </w:r>
            <w:r w:rsidR="005A3968">
              <w:rPr>
                <w:rFonts w:ascii="Arial" w:hAnsi="Arial" w:cs="Arial"/>
                <w:color w:val="FFFFFF" w:themeColor="background1"/>
                <w:sz w:val="24"/>
                <w:szCs w:val="24"/>
              </w:rPr>
              <w:t>2.0</w:t>
            </w:r>
            <w:r w:rsidRPr="00202013">
              <w:rPr>
                <w:rFonts w:ascii="Arial" w:hAnsi="Arial" w:cs="Arial"/>
                <w:color w:val="FFFFFF" w:themeColor="background1"/>
                <w:sz w:val="24"/>
                <w:szCs w:val="24"/>
              </w:rPr>
              <w:t>%</w:t>
            </w:r>
          </w:p>
          <w:p w:rsidR="007B7CDF" w:rsidRPr="00202013" w:rsidRDefault="007B7CDF" w:rsidP="005A3968">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5A3968">
              <w:rPr>
                <w:rFonts w:ascii="Arial" w:hAnsi="Arial" w:cs="Arial"/>
                <w:color w:val="FFFFFF" w:themeColor="background1"/>
                <w:sz w:val="24"/>
                <w:szCs w:val="24"/>
              </w:rPr>
              <w:t>62,996</w:t>
            </w:r>
            <w:r w:rsidRPr="00202013">
              <w:rPr>
                <w:rFonts w:ascii="Arial" w:hAnsi="Arial" w:cs="Arial"/>
                <w:color w:val="FFFFFF" w:themeColor="background1"/>
                <w:sz w:val="24"/>
                <w:szCs w:val="24"/>
              </w:rPr>
              <w:t>)</w:t>
            </w:r>
          </w:p>
        </w:tc>
        <w:tc>
          <w:tcPr>
            <w:tcW w:w="1276"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6</w:t>
            </w:r>
            <w:r w:rsidR="005A3968">
              <w:rPr>
                <w:rFonts w:ascii="Arial" w:hAnsi="Arial" w:cs="Arial"/>
                <w:color w:val="FFFFFF" w:themeColor="background1"/>
                <w:sz w:val="24"/>
                <w:szCs w:val="24"/>
              </w:rPr>
              <w:t>0.5</w:t>
            </w:r>
            <w:r w:rsidRPr="00202013">
              <w:rPr>
                <w:rFonts w:ascii="Arial" w:hAnsi="Arial" w:cs="Arial"/>
                <w:color w:val="FFFFFF" w:themeColor="background1"/>
                <w:sz w:val="24"/>
                <w:szCs w:val="24"/>
              </w:rPr>
              <w:t>%</w:t>
            </w:r>
          </w:p>
          <w:p w:rsidR="007B7CDF" w:rsidRPr="00202013" w:rsidRDefault="007B7CDF" w:rsidP="005A3968">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5A3968">
              <w:rPr>
                <w:rFonts w:ascii="Arial" w:hAnsi="Arial" w:cs="Arial"/>
                <w:color w:val="FFFFFF" w:themeColor="background1"/>
                <w:sz w:val="24"/>
                <w:szCs w:val="24"/>
              </w:rPr>
              <w:t>8,639</w:t>
            </w:r>
            <w:r w:rsidRPr="00202013">
              <w:rPr>
                <w:rFonts w:ascii="Arial" w:hAnsi="Arial" w:cs="Arial"/>
                <w:color w:val="FFFFFF" w:themeColor="background1"/>
                <w:sz w:val="24"/>
                <w:szCs w:val="24"/>
              </w:rPr>
              <w:t>)</w:t>
            </w:r>
          </w:p>
        </w:tc>
        <w:tc>
          <w:tcPr>
            <w:tcW w:w="1134" w:type="dxa"/>
            <w:shd w:val="clear" w:color="auto" w:fill="575756"/>
          </w:tcPr>
          <w:p w:rsidR="007B7CDF" w:rsidRPr="00202013" w:rsidRDefault="005A3968"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52.9</w:t>
            </w:r>
            <w:r w:rsidR="007B7CDF" w:rsidRPr="00202013">
              <w:rPr>
                <w:rFonts w:ascii="Arial" w:hAnsi="Arial" w:cs="Arial"/>
                <w:color w:val="FFFFFF" w:themeColor="background1"/>
                <w:sz w:val="24"/>
                <w:szCs w:val="24"/>
              </w:rPr>
              <w:t>%</w:t>
            </w:r>
          </w:p>
          <w:p w:rsidR="007B7CDF" w:rsidRPr="00202013" w:rsidRDefault="007B7CDF" w:rsidP="005A3968">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5A3968">
              <w:rPr>
                <w:rFonts w:ascii="Arial" w:hAnsi="Arial" w:cs="Arial"/>
                <w:color w:val="FFFFFF" w:themeColor="background1"/>
                <w:sz w:val="24"/>
                <w:szCs w:val="24"/>
              </w:rPr>
              <w:t>6,042</w:t>
            </w:r>
            <w:r w:rsidRPr="00202013">
              <w:rPr>
                <w:rFonts w:ascii="Arial" w:hAnsi="Arial" w:cs="Arial"/>
                <w:color w:val="FFFFFF" w:themeColor="background1"/>
                <w:sz w:val="24"/>
                <w:szCs w:val="24"/>
              </w:rPr>
              <w:t>)</w:t>
            </w:r>
          </w:p>
        </w:tc>
        <w:tc>
          <w:tcPr>
            <w:tcW w:w="1276" w:type="dxa"/>
            <w:shd w:val="clear" w:color="auto" w:fill="575756"/>
          </w:tcPr>
          <w:p w:rsidR="007B7CDF" w:rsidRPr="00202013" w:rsidRDefault="005A3968"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89.3</w:t>
            </w:r>
            <w:r w:rsidR="007B7CDF" w:rsidRPr="00202013">
              <w:rPr>
                <w:rFonts w:ascii="Arial" w:hAnsi="Arial" w:cs="Arial"/>
                <w:color w:val="FFFFFF" w:themeColor="background1"/>
                <w:sz w:val="24"/>
                <w:szCs w:val="24"/>
              </w:rPr>
              <w:t>%</w:t>
            </w:r>
          </w:p>
          <w:p w:rsidR="007B7CDF" w:rsidRPr="00202013" w:rsidRDefault="007B7CDF" w:rsidP="005A3968">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5A3968">
              <w:rPr>
                <w:rFonts w:ascii="Arial" w:hAnsi="Arial" w:cs="Arial"/>
                <w:color w:val="FFFFFF" w:themeColor="background1"/>
                <w:sz w:val="24"/>
                <w:szCs w:val="24"/>
              </w:rPr>
              <w:t>56,394</w:t>
            </w:r>
            <w:r w:rsidRPr="00202013">
              <w:rPr>
                <w:rFonts w:ascii="Arial" w:hAnsi="Arial" w:cs="Arial"/>
                <w:color w:val="FFFFFF" w:themeColor="background1"/>
                <w:sz w:val="24"/>
                <w:szCs w:val="24"/>
              </w:rPr>
              <w:t>)</w:t>
            </w:r>
          </w:p>
        </w:tc>
        <w:tc>
          <w:tcPr>
            <w:tcW w:w="1417" w:type="dxa"/>
            <w:shd w:val="clear" w:color="auto" w:fill="575756"/>
          </w:tcPr>
          <w:p w:rsidR="007B7CDF" w:rsidRPr="00202013" w:rsidRDefault="007B7CDF" w:rsidP="005A49A9">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8</w:t>
            </w:r>
            <w:r w:rsidR="005A3968">
              <w:rPr>
                <w:rFonts w:ascii="Arial" w:hAnsi="Arial" w:cs="Arial"/>
                <w:color w:val="FFFFFF" w:themeColor="background1"/>
                <w:sz w:val="24"/>
                <w:szCs w:val="24"/>
              </w:rPr>
              <w:t>7.0</w:t>
            </w:r>
            <w:r w:rsidRPr="00202013">
              <w:rPr>
                <w:rFonts w:ascii="Arial" w:hAnsi="Arial" w:cs="Arial"/>
                <w:color w:val="FFFFFF" w:themeColor="background1"/>
                <w:sz w:val="24"/>
                <w:szCs w:val="24"/>
              </w:rPr>
              <w:t>%</w:t>
            </w:r>
          </w:p>
          <w:p w:rsidR="007B7CDF" w:rsidRPr="00202013" w:rsidRDefault="007B7CDF" w:rsidP="005A3968">
            <w:pPr>
              <w:spacing w:after="0"/>
              <w:jc w:val="center"/>
              <w:rPr>
                <w:rFonts w:ascii="Arial" w:hAnsi="Arial" w:cs="Arial"/>
                <w:color w:val="FFFFFF" w:themeColor="background1"/>
                <w:sz w:val="24"/>
                <w:szCs w:val="24"/>
              </w:rPr>
            </w:pPr>
            <w:r w:rsidRPr="00202013">
              <w:rPr>
                <w:rFonts w:ascii="Arial" w:hAnsi="Arial" w:cs="Arial"/>
                <w:color w:val="FFFFFF" w:themeColor="background1"/>
                <w:sz w:val="24"/>
                <w:szCs w:val="24"/>
              </w:rPr>
              <w:t>(</w:t>
            </w:r>
            <w:r w:rsidR="005A3968">
              <w:rPr>
                <w:rFonts w:ascii="Arial" w:hAnsi="Arial" w:cs="Arial"/>
                <w:color w:val="FFFFFF" w:themeColor="background1"/>
                <w:sz w:val="24"/>
                <w:szCs w:val="24"/>
              </w:rPr>
              <w:t>56,952</w:t>
            </w:r>
            <w:r w:rsidRPr="00202013">
              <w:rPr>
                <w:rFonts w:ascii="Arial" w:hAnsi="Arial" w:cs="Arial"/>
                <w:color w:val="FFFFFF" w:themeColor="background1"/>
                <w:sz w:val="24"/>
                <w:szCs w:val="24"/>
              </w:rPr>
              <w:t>)</w:t>
            </w:r>
          </w:p>
        </w:tc>
      </w:tr>
      <w:tr w:rsidR="007B7CDF" w:rsidRPr="006E2242" w:rsidTr="00A601A4">
        <w:trPr>
          <w:trHeight w:val="503"/>
        </w:trPr>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England</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8</w:t>
            </w:r>
            <w:r w:rsidR="005A3968">
              <w:rPr>
                <w:rFonts w:ascii="Arial" w:hAnsi="Arial" w:cs="Arial"/>
                <w:sz w:val="24"/>
                <w:szCs w:val="24"/>
              </w:rPr>
              <w:t>3.6</w:t>
            </w:r>
            <w:r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468,419</w:t>
            </w:r>
            <w:r w:rsidRPr="006E2242">
              <w:rPr>
                <w:rFonts w:ascii="Arial" w:hAnsi="Arial" w:cs="Arial"/>
                <w:sz w:val="24"/>
                <w:szCs w:val="24"/>
              </w:rPr>
              <w:t>)</w:t>
            </w:r>
          </w:p>
        </w:tc>
        <w:tc>
          <w:tcPr>
            <w:tcW w:w="1275"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8</w:t>
            </w:r>
            <w:r w:rsidR="005A3968">
              <w:rPr>
                <w:rFonts w:ascii="Arial" w:hAnsi="Arial" w:cs="Arial"/>
                <w:sz w:val="24"/>
                <w:szCs w:val="24"/>
              </w:rPr>
              <w:t>2.2</w:t>
            </w:r>
            <w:r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456,029</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5A3968">
              <w:rPr>
                <w:rFonts w:ascii="Arial" w:hAnsi="Arial" w:cs="Arial"/>
                <w:sz w:val="24"/>
                <w:szCs w:val="24"/>
              </w:rPr>
              <w:t>0.1</w:t>
            </w:r>
            <w:r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66,052</w:t>
            </w:r>
            <w:r w:rsidRPr="006E2242">
              <w:rPr>
                <w:rFonts w:ascii="Arial" w:hAnsi="Arial" w:cs="Arial"/>
                <w:sz w:val="24"/>
                <w:szCs w:val="24"/>
              </w:rPr>
              <w:t>)</w:t>
            </w:r>
          </w:p>
        </w:tc>
        <w:tc>
          <w:tcPr>
            <w:tcW w:w="1134" w:type="dxa"/>
            <w:shd w:val="clear" w:color="auto" w:fill="E0E0E0"/>
          </w:tcPr>
          <w:p w:rsidR="007B7CDF" w:rsidRPr="006E2242" w:rsidRDefault="005A3968" w:rsidP="005A49A9">
            <w:pPr>
              <w:spacing w:after="0"/>
              <w:jc w:val="center"/>
              <w:rPr>
                <w:rFonts w:ascii="Arial" w:hAnsi="Arial" w:cs="Arial"/>
                <w:sz w:val="24"/>
                <w:szCs w:val="24"/>
              </w:rPr>
            </w:pPr>
            <w:r>
              <w:rPr>
                <w:rFonts w:ascii="Arial" w:hAnsi="Arial" w:cs="Arial"/>
                <w:sz w:val="24"/>
                <w:szCs w:val="24"/>
              </w:rPr>
              <w:t>54.5</w:t>
            </w:r>
            <w:r w:rsidR="007B7CDF"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49,348</w:t>
            </w:r>
            <w:r w:rsidRPr="006E2242">
              <w:rPr>
                <w:rFonts w:ascii="Arial" w:hAnsi="Arial" w:cs="Arial"/>
                <w:sz w:val="24"/>
                <w:szCs w:val="24"/>
              </w:rPr>
              <w:t>)</w:t>
            </w:r>
          </w:p>
        </w:tc>
        <w:tc>
          <w:tcPr>
            <w:tcW w:w="1276" w:type="dxa"/>
            <w:shd w:val="clear" w:color="auto" w:fill="E0E0E0"/>
          </w:tcPr>
          <w:p w:rsidR="007B7CDF" w:rsidRPr="006E2242" w:rsidRDefault="005A3968" w:rsidP="005A49A9">
            <w:pPr>
              <w:spacing w:after="0"/>
              <w:jc w:val="center"/>
              <w:rPr>
                <w:rFonts w:ascii="Arial" w:hAnsi="Arial" w:cs="Arial"/>
                <w:sz w:val="24"/>
                <w:szCs w:val="24"/>
              </w:rPr>
            </w:pPr>
            <w:r>
              <w:rPr>
                <w:rFonts w:ascii="Arial" w:hAnsi="Arial" w:cs="Arial"/>
                <w:sz w:val="24"/>
                <w:szCs w:val="24"/>
              </w:rPr>
              <w:t>89.4</w:t>
            </w:r>
            <w:r w:rsidR="007B7CDF"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402,367</w:t>
            </w:r>
            <w:r w:rsidRPr="006E2242">
              <w:rPr>
                <w:rFonts w:ascii="Arial" w:hAnsi="Arial" w:cs="Arial"/>
                <w:sz w:val="24"/>
                <w:szCs w:val="24"/>
              </w:rPr>
              <w:t>)</w:t>
            </w:r>
          </w:p>
        </w:tc>
        <w:tc>
          <w:tcPr>
            <w:tcW w:w="1417"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8</w:t>
            </w:r>
            <w:r w:rsidR="005A3968">
              <w:rPr>
                <w:rFonts w:ascii="Arial" w:hAnsi="Arial" w:cs="Arial"/>
                <w:sz w:val="24"/>
                <w:szCs w:val="24"/>
              </w:rPr>
              <w:t>7.6</w:t>
            </w:r>
            <w:r w:rsidRPr="006E2242">
              <w:rPr>
                <w:rFonts w:ascii="Arial" w:hAnsi="Arial" w:cs="Arial"/>
                <w:sz w:val="24"/>
                <w:szCs w:val="24"/>
              </w:rPr>
              <w:t>%</w:t>
            </w:r>
          </w:p>
          <w:p w:rsidR="007B7CDF" w:rsidRPr="006E2242" w:rsidRDefault="007B7CDF" w:rsidP="005A3968">
            <w:pPr>
              <w:spacing w:after="0"/>
              <w:jc w:val="center"/>
              <w:rPr>
                <w:rFonts w:ascii="Arial" w:hAnsi="Arial" w:cs="Arial"/>
                <w:sz w:val="24"/>
                <w:szCs w:val="24"/>
              </w:rPr>
            </w:pPr>
            <w:r w:rsidRPr="006E2242">
              <w:rPr>
                <w:rFonts w:ascii="Arial" w:hAnsi="Arial" w:cs="Arial"/>
                <w:sz w:val="24"/>
                <w:szCs w:val="24"/>
              </w:rPr>
              <w:t>(</w:t>
            </w:r>
            <w:r w:rsidR="005A3968">
              <w:rPr>
                <w:rFonts w:ascii="Arial" w:hAnsi="Arial" w:cs="Arial"/>
                <w:sz w:val="24"/>
                <w:szCs w:val="24"/>
              </w:rPr>
              <w:t>406,681</w:t>
            </w:r>
            <w:r w:rsidRPr="006E2242">
              <w:rPr>
                <w:rFonts w:ascii="Arial" w:hAnsi="Arial" w:cs="Arial"/>
                <w:sz w:val="24"/>
                <w:szCs w:val="24"/>
              </w:rPr>
              <w:t>)</w:t>
            </w:r>
          </w:p>
        </w:tc>
      </w:tr>
    </w:tbl>
    <w:p w:rsidR="007B7CDF" w:rsidRPr="00561D52" w:rsidRDefault="007B7CDF" w:rsidP="007B7CDF">
      <w:pPr>
        <w:spacing w:after="0"/>
        <w:rPr>
          <w:rFonts w:ascii="Arial" w:hAnsi="Arial" w:cs="Arial"/>
          <w:sz w:val="24"/>
          <w:szCs w:val="24"/>
        </w:rPr>
      </w:pPr>
    </w:p>
    <w:p w:rsidR="007B7CDF" w:rsidRPr="00561D52" w:rsidRDefault="007B7CDF" w:rsidP="007B7CDF">
      <w:pPr>
        <w:numPr>
          <w:ilvl w:val="0"/>
          <w:numId w:val="22"/>
        </w:numPr>
        <w:autoSpaceDE w:val="0"/>
        <w:autoSpaceDN w:val="0"/>
        <w:adjustRightInd w:val="0"/>
        <w:spacing w:after="0" w:line="240" w:lineRule="auto"/>
        <w:rPr>
          <w:rFonts w:ascii="Arial" w:hAnsi="Arial" w:cs="Arial"/>
          <w:sz w:val="24"/>
          <w:szCs w:val="24"/>
        </w:rPr>
      </w:pPr>
      <w:r w:rsidRPr="00561D52">
        <w:rPr>
          <w:rFonts w:ascii="Arial" w:hAnsi="Arial" w:cs="Arial"/>
          <w:sz w:val="24"/>
          <w:szCs w:val="24"/>
        </w:rPr>
        <w:t xml:space="preserve">Whilst Lancashire is </w:t>
      </w:r>
      <w:r w:rsidR="00561D52" w:rsidRPr="00561D52">
        <w:rPr>
          <w:rFonts w:ascii="Arial" w:hAnsi="Arial" w:cs="Arial"/>
          <w:sz w:val="24"/>
          <w:szCs w:val="24"/>
        </w:rPr>
        <w:t xml:space="preserve">in line with </w:t>
      </w:r>
      <w:r w:rsidRPr="00561D52">
        <w:rPr>
          <w:rFonts w:ascii="Arial" w:hAnsi="Arial" w:cs="Arial"/>
          <w:sz w:val="24"/>
          <w:szCs w:val="24"/>
        </w:rPr>
        <w:t>the North West and England positions for all young people</w:t>
      </w:r>
      <w:r w:rsidR="00561D52" w:rsidRPr="00561D52">
        <w:rPr>
          <w:rFonts w:ascii="Arial" w:hAnsi="Arial" w:cs="Arial"/>
          <w:sz w:val="24"/>
          <w:szCs w:val="24"/>
        </w:rPr>
        <w:t xml:space="preserve">, it is below for both young people with SEN and young people with </w:t>
      </w:r>
      <w:r w:rsidRPr="00561D52">
        <w:rPr>
          <w:rFonts w:ascii="Arial" w:hAnsi="Arial" w:cs="Arial"/>
          <w:sz w:val="24"/>
          <w:szCs w:val="24"/>
        </w:rPr>
        <w:t>no identified SEN</w:t>
      </w:r>
    </w:p>
    <w:p w:rsidR="007B7CDF" w:rsidRPr="00561D52" w:rsidRDefault="007B7CDF" w:rsidP="007B7CDF">
      <w:pPr>
        <w:numPr>
          <w:ilvl w:val="0"/>
          <w:numId w:val="22"/>
        </w:numPr>
        <w:autoSpaceDE w:val="0"/>
        <w:autoSpaceDN w:val="0"/>
        <w:adjustRightInd w:val="0"/>
        <w:spacing w:after="0" w:line="240" w:lineRule="auto"/>
        <w:rPr>
          <w:rFonts w:ascii="Arial" w:hAnsi="Arial" w:cs="Arial"/>
          <w:sz w:val="24"/>
          <w:szCs w:val="24"/>
        </w:rPr>
      </w:pPr>
      <w:r w:rsidRPr="00561D52">
        <w:rPr>
          <w:rFonts w:ascii="Arial" w:hAnsi="Arial" w:cs="Arial"/>
          <w:sz w:val="24"/>
          <w:szCs w:val="24"/>
        </w:rPr>
        <w:t xml:space="preserve">There have been reductions in the percentage of those achieving in all three categories for Lancashire, the North West and England.  </w:t>
      </w:r>
      <w:r w:rsidR="00561D52" w:rsidRPr="00561D52">
        <w:rPr>
          <w:rFonts w:ascii="Arial" w:hAnsi="Arial" w:cs="Arial"/>
          <w:sz w:val="24"/>
          <w:szCs w:val="24"/>
        </w:rPr>
        <w:t xml:space="preserve">The most notable reductions are for young people with SEN.  </w:t>
      </w:r>
      <w:r w:rsidRPr="00561D52">
        <w:rPr>
          <w:rFonts w:ascii="Arial" w:hAnsi="Arial" w:cs="Arial"/>
          <w:sz w:val="24"/>
          <w:szCs w:val="24"/>
        </w:rPr>
        <w:t xml:space="preserve">The Lancashire reduction for </w:t>
      </w:r>
      <w:r w:rsidR="00561D52" w:rsidRPr="00561D52">
        <w:rPr>
          <w:rFonts w:ascii="Arial" w:hAnsi="Arial" w:cs="Arial"/>
          <w:sz w:val="24"/>
          <w:szCs w:val="24"/>
        </w:rPr>
        <w:t>young people</w:t>
      </w:r>
      <w:r w:rsidRPr="00561D52">
        <w:rPr>
          <w:rFonts w:ascii="Arial" w:hAnsi="Arial" w:cs="Arial"/>
          <w:sz w:val="24"/>
          <w:szCs w:val="24"/>
        </w:rPr>
        <w:t xml:space="preserve"> with SEN is notable at </w:t>
      </w:r>
      <w:r w:rsidR="00561D52" w:rsidRPr="00561D52">
        <w:rPr>
          <w:rFonts w:ascii="Arial" w:hAnsi="Arial" w:cs="Arial"/>
          <w:sz w:val="24"/>
          <w:szCs w:val="24"/>
        </w:rPr>
        <w:t>8.7</w:t>
      </w:r>
      <w:r w:rsidRPr="00561D52">
        <w:rPr>
          <w:rFonts w:ascii="Arial" w:hAnsi="Arial" w:cs="Arial"/>
          <w:sz w:val="24"/>
          <w:szCs w:val="24"/>
        </w:rPr>
        <w:t>% and this is greater than both the North West and England reductions</w:t>
      </w:r>
    </w:p>
    <w:p w:rsidR="007B7CDF" w:rsidRPr="00561D52" w:rsidRDefault="00561D52" w:rsidP="007B7CDF">
      <w:pPr>
        <w:numPr>
          <w:ilvl w:val="0"/>
          <w:numId w:val="22"/>
        </w:numPr>
        <w:autoSpaceDE w:val="0"/>
        <w:autoSpaceDN w:val="0"/>
        <w:adjustRightInd w:val="0"/>
        <w:spacing w:after="0" w:line="240" w:lineRule="auto"/>
        <w:rPr>
          <w:rFonts w:ascii="Arial" w:hAnsi="Arial" w:cs="Arial"/>
          <w:sz w:val="24"/>
          <w:szCs w:val="24"/>
        </w:rPr>
      </w:pPr>
      <w:r w:rsidRPr="00561D52">
        <w:rPr>
          <w:rFonts w:ascii="Arial" w:hAnsi="Arial" w:cs="Arial"/>
          <w:sz w:val="24"/>
          <w:szCs w:val="24"/>
        </w:rPr>
        <w:t>At 36.1 percentage points, the attainment gap between young people with SEN and young people with no identified SEN in Lancashire has increased compared to 2017 when it was 31.1 percentage points.  The attainment gap in Lancashire is greater than those for the North West and England, both of which have also increased compared to 2017</w:t>
      </w:r>
    </w:p>
    <w:tbl>
      <w:tblPr>
        <w:tblW w:w="9121" w:type="dxa"/>
        <w:tblLook w:val="04A0" w:firstRow="1" w:lastRow="0" w:firstColumn="1" w:lastColumn="0" w:noHBand="0" w:noVBand="1"/>
      </w:tblPr>
      <w:tblGrid>
        <w:gridCol w:w="1418"/>
        <w:gridCol w:w="1276"/>
        <w:gridCol w:w="1275"/>
        <w:gridCol w:w="1276"/>
        <w:gridCol w:w="1276"/>
        <w:gridCol w:w="1276"/>
        <w:gridCol w:w="1324"/>
      </w:tblGrid>
      <w:tr w:rsidR="007B7CDF" w:rsidRPr="008E2ACA" w:rsidTr="00A601A4">
        <w:tc>
          <w:tcPr>
            <w:tcW w:w="9121" w:type="dxa"/>
            <w:gridSpan w:val="7"/>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lastRenderedPageBreak/>
              <w:t>Young people achieving level 2 by the age of 19, including English and maths, by SEN status in Year 11</w:t>
            </w:r>
          </w:p>
        </w:tc>
      </w:tr>
      <w:tr w:rsidR="007B7CDF" w:rsidRPr="006E2242" w:rsidTr="00A601A4">
        <w:tc>
          <w:tcPr>
            <w:tcW w:w="1418" w:type="dxa"/>
            <w:vMerge w:val="restart"/>
            <w:shd w:val="clear" w:color="auto" w:fill="575756"/>
          </w:tcPr>
          <w:p w:rsidR="007B7CDF" w:rsidRPr="00F00BE6" w:rsidRDefault="007B7CDF" w:rsidP="005A49A9">
            <w:pPr>
              <w:spacing w:after="0"/>
              <w:rPr>
                <w:rFonts w:ascii="Arial" w:hAnsi="Arial" w:cs="Arial"/>
                <w:color w:val="FFFFFF" w:themeColor="background1"/>
                <w:sz w:val="24"/>
                <w:szCs w:val="24"/>
              </w:rPr>
            </w:pPr>
          </w:p>
        </w:tc>
        <w:tc>
          <w:tcPr>
            <w:tcW w:w="2551" w:type="dxa"/>
            <w:gridSpan w:val="2"/>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All</w:t>
            </w:r>
          </w:p>
        </w:tc>
        <w:tc>
          <w:tcPr>
            <w:tcW w:w="2552" w:type="dxa"/>
            <w:gridSpan w:val="2"/>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All SEN Pupils</w:t>
            </w:r>
          </w:p>
        </w:tc>
        <w:tc>
          <w:tcPr>
            <w:tcW w:w="2600" w:type="dxa"/>
            <w:gridSpan w:val="2"/>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No Identified SEN</w:t>
            </w:r>
          </w:p>
        </w:tc>
      </w:tr>
      <w:tr w:rsidR="00A601A4" w:rsidRPr="006E2242" w:rsidTr="00A601A4">
        <w:tc>
          <w:tcPr>
            <w:tcW w:w="1418" w:type="dxa"/>
            <w:vMerge/>
            <w:shd w:val="clear" w:color="auto" w:fill="575756"/>
          </w:tcPr>
          <w:p w:rsidR="00257C2B" w:rsidRPr="00F00BE6" w:rsidRDefault="00257C2B" w:rsidP="00257C2B">
            <w:pPr>
              <w:spacing w:after="0"/>
              <w:rPr>
                <w:rFonts w:ascii="Arial" w:hAnsi="Arial" w:cs="Arial"/>
                <w:color w:val="FFFFFF" w:themeColor="background1"/>
                <w:sz w:val="24"/>
                <w:szCs w:val="24"/>
              </w:rPr>
            </w:pP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275"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324"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r>
      <w:tr w:rsidR="008759BF" w:rsidRPr="006E2242" w:rsidTr="00A601A4">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Lancashire</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71.</w:t>
            </w:r>
            <w:r w:rsidR="008759BF">
              <w:rPr>
                <w:rFonts w:ascii="Arial" w:hAnsi="Arial" w:cs="Arial"/>
                <w:sz w:val="24"/>
                <w:szCs w:val="24"/>
              </w:rPr>
              <w:t>3</w:t>
            </w:r>
            <w:r w:rsidRPr="006E2242">
              <w:rPr>
                <w:rFonts w:ascii="Arial" w:hAnsi="Arial" w:cs="Arial"/>
                <w:sz w:val="24"/>
                <w:szCs w:val="24"/>
              </w:rPr>
              <w:t>%</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(9,</w:t>
            </w:r>
            <w:r w:rsidR="008759BF">
              <w:rPr>
                <w:rFonts w:ascii="Arial" w:hAnsi="Arial" w:cs="Arial"/>
                <w:sz w:val="24"/>
                <w:szCs w:val="24"/>
              </w:rPr>
              <w:t>089</w:t>
            </w:r>
            <w:r w:rsidRPr="006E2242">
              <w:rPr>
                <w:rFonts w:ascii="Arial" w:hAnsi="Arial" w:cs="Arial"/>
                <w:sz w:val="24"/>
                <w:szCs w:val="24"/>
              </w:rPr>
              <w:t>)</w:t>
            </w:r>
          </w:p>
        </w:tc>
        <w:tc>
          <w:tcPr>
            <w:tcW w:w="1275"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7</w:t>
            </w:r>
            <w:r w:rsidR="008759BF">
              <w:rPr>
                <w:rFonts w:ascii="Arial" w:hAnsi="Arial" w:cs="Arial"/>
                <w:sz w:val="24"/>
                <w:szCs w:val="24"/>
              </w:rPr>
              <w:t>0</w:t>
            </w:r>
            <w:r w:rsidRPr="006E2242">
              <w:rPr>
                <w:rFonts w:ascii="Arial" w:hAnsi="Arial" w:cs="Arial"/>
                <w:sz w:val="24"/>
                <w:szCs w:val="24"/>
              </w:rPr>
              <w:t>.3%</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w:t>
            </w:r>
            <w:r w:rsidR="008759BF">
              <w:rPr>
                <w:rFonts w:ascii="Arial" w:hAnsi="Arial" w:cs="Arial"/>
                <w:sz w:val="24"/>
                <w:szCs w:val="24"/>
              </w:rPr>
              <w:t>8,903</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3</w:t>
            </w:r>
            <w:r w:rsidR="008759BF">
              <w:rPr>
                <w:rFonts w:ascii="Arial" w:hAnsi="Arial" w:cs="Arial"/>
                <w:sz w:val="24"/>
                <w:szCs w:val="24"/>
              </w:rPr>
              <w:t>0.9</w:t>
            </w:r>
            <w:r w:rsidRPr="006E2242">
              <w:rPr>
                <w:rFonts w:ascii="Arial" w:hAnsi="Arial" w:cs="Arial"/>
                <w:sz w:val="24"/>
                <w:szCs w:val="24"/>
              </w:rPr>
              <w:t>%</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w:t>
            </w:r>
            <w:r w:rsidR="008759BF">
              <w:rPr>
                <w:rFonts w:ascii="Arial" w:hAnsi="Arial" w:cs="Arial"/>
                <w:sz w:val="24"/>
                <w:szCs w:val="24"/>
              </w:rPr>
              <w:t>570</w:t>
            </w:r>
            <w:r w:rsidRPr="006E2242">
              <w:rPr>
                <w:rFonts w:ascii="Arial" w:hAnsi="Arial" w:cs="Arial"/>
                <w:sz w:val="24"/>
                <w:szCs w:val="24"/>
              </w:rPr>
              <w:t>)</w:t>
            </w:r>
          </w:p>
        </w:tc>
        <w:tc>
          <w:tcPr>
            <w:tcW w:w="1276" w:type="dxa"/>
            <w:shd w:val="clear" w:color="auto" w:fill="E0E0E0"/>
          </w:tcPr>
          <w:p w:rsidR="007B7CDF" w:rsidRPr="006E2242" w:rsidRDefault="008759BF" w:rsidP="005A49A9">
            <w:pPr>
              <w:spacing w:after="0"/>
              <w:jc w:val="center"/>
              <w:rPr>
                <w:rFonts w:ascii="Arial" w:hAnsi="Arial" w:cs="Arial"/>
                <w:sz w:val="24"/>
                <w:szCs w:val="24"/>
              </w:rPr>
            </w:pPr>
            <w:r>
              <w:rPr>
                <w:rFonts w:ascii="Arial" w:hAnsi="Arial" w:cs="Arial"/>
                <w:sz w:val="24"/>
                <w:szCs w:val="24"/>
              </w:rPr>
              <w:t>29.4</w:t>
            </w:r>
            <w:r w:rsidR="007B7CDF" w:rsidRPr="006E2242">
              <w:rPr>
                <w:rFonts w:ascii="Arial" w:hAnsi="Arial" w:cs="Arial"/>
                <w:sz w:val="24"/>
                <w:szCs w:val="24"/>
              </w:rPr>
              <w:t>%</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w:t>
            </w:r>
            <w:r w:rsidR="008759BF">
              <w:rPr>
                <w:rFonts w:ascii="Arial" w:hAnsi="Arial" w:cs="Arial"/>
                <w:sz w:val="24"/>
                <w:szCs w:val="24"/>
              </w:rPr>
              <w:t>435</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78.</w:t>
            </w:r>
            <w:r w:rsidR="008759BF">
              <w:rPr>
                <w:rFonts w:ascii="Arial" w:hAnsi="Arial" w:cs="Arial"/>
                <w:sz w:val="24"/>
                <w:szCs w:val="24"/>
              </w:rPr>
              <w:t>2</w:t>
            </w:r>
            <w:r w:rsidRPr="006E2242">
              <w:rPr>
                <w:rFonts w:ascii="Arial" w:hAnsi="Arial" w:cs="Arial"/>
                <w:sz w:val="24"/>
                <w:szCs w:val="24"/>
              </w:rPr>
              <w:t>%</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(8,</w:t>
            </w:r>
            <w:r w:rsidR="008759BF">
              <w:rPr>
                <w:rFonts w:ascii="Arial" w:hAnsi="Arial" w:cs="Arial"/>
                <w:sz w:val="24"/>
                <w:szCs w:val="24"/>
              </w:rPr>
              <w:t>519</w:t>
            </w:r>
            <w:r w:rsidRPr="006E2242">
              <w:rPr>
                <w:rFonts w:ascii="Arial" w:hAnsi="Arial" w:cs="Arial"/>
                <w:sz w:val="24"/>
                <w:szCs w:val="24"/>
              </w:rPr>
              <w:t>)</w:t>
            </w:r>
          </w:p>
        </w:tc>
        <w:tc>
          <w:tcPr>
            <w:tcW w:w="1324"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7</w:t>
            </w:r>
            <w:r w:rsidR="008759BF">
              <w:rPr>
                <w:rFonts w:ascii="Arial" w:hAnsi="Arial" w:cs="Arial"/>
                <w:sz w:val="24"/>
                <w:szCs w:val="24"/>
              </w:rPr>
              <w:t>5.7</w:t>
            </w:r>
            <w:r w:rsidRPr="006E2242">
              <w:rPr>
                <w:rFonts w:ascii="Arial" w:hAnsi="Arial" w:cs="Arial"/>
                <w:sz w:val="24"/>
                <w:szCs w:val="24"/>
              </w:rPr>
              <w:t>%</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(8,</w:t>
            </w:r>
            <w:r w:rsidR="008759BF">
              <w:rPr>
                <w:rFonts w:ascii="Arial" w:hAnsi="Arial" w:cs="Arial"/>
                <w:sz w:val="24"/>
                <w:szCs w:val="24"/>
              </w:rPr>
              <w:t>468</w:t>
            </w:r>
            <w:r w:rsidRPr="006E2242">
              <w:rPr>
                <w:rFonts w:ascii="Arial" w:hAnsi="Arial" w:cs="Arial"/>
                <w:sz w:val="24"/>
                <w:szCs w:val="24"/>
              </w:rPr>
              <w:t>)</w:t>
            </w:r>
          </w:p>
        </w:tc>
      </w:tr>
      <w:tr w:rsidR="008759BF" w:rsidRPr="006E2242" w:rsidTr="00A601A4">
        <w:tc>
          <w:tcPr>
            <w:tcW w:w="1418" w:type="dxa"/>
            <w:shd w:val="clear" w:color="auto" w:fill="575756"/>
          </w:tcPr>
          <w:p w:rsidR="007B7CDF" w:rsidRPr="00F00BE6" w:rsidRDefault="007B7CDF" w:rsidP="005A49A9">
            <w:pPr>
              <w:spacing w:after="0"/>
              <w:rPr>
                <w:rFonts w:ascii="Arial" w:hAnsi="Arial" w:cs="Arial"/>
                <w:color w:val="FFFFFF" w:themeColor="background1"/>
                <w:sz w:val="24"/>
                <w:szCs w:val="24"/>
              </w:rPr>
            </w:pPr>
            <w:r w:rsidRPr="00F00BE6">
              <w:rPr>
                <w:rFonts w:ascii="Arial" w:hAnsi="Arial" w:cs="Arial"/>
                <w:color w:val="FFFFFF" w:themeColor="background1"/>
                <w:sz w:val="24"/>
                <w:szCs w:val="24"/>
              </w:rPr>
              <w:t>North West</w:t>
            </w:r>
          </w:p>
        </w:tc>
        <w:tc>
          <w:tcPr>
            <w:tcW w:w="1276" w:type="dxa"/>
            <w:shd w:val="clear" w:color="auto" w:fill="575756"/>
          </w:tcPr>
          <w:p w:rsidR="007B7CDF" w:rsidRPr="00F00BE6" w:rsidRDefault="008759BF"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68.5</w:t>
            </w:r>
            <w:r w:rsidR="007B7CDF" w:rsidRPr="00F00BE6">
              <w:rPr>
                <w:rFonts w:ascii="Arial" w:hAnsi="Arial" w:cs="Arial"/>
                <w:color w:val="FFFFFF" w:themeColor="background1"/>
                <w:sz w:val="24"/>
                <w:szCs w:val="24"/>
              </w:rPr>
              <w:t>%</w:t>
            </w:r>
          </w:p>
          <w:p w:rsidR="007B7CDF" w:rsidRPr="00F00BE6" w:rsidRDefault="007B7CDF" w:rsidP="008759BF">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8759BF">
              <w:rPr>
                <w:rFonts w:ascii="Arial" w:hAnsi="Arial" w:cs="Arial"/>
                <w:color w:val="FFFFFF" w:themeColor="background1"/>
                <w:sz w:val="24"/>
                <w:szCs w:val="24"/>
              </w:rPr>
              <w:t>53,085</w:t>
            </w:r>
            <w:r w:rsidRPr="00F00BE6">
              <w:rPr>
                <w:rFonts w:ascii="Arial" w:hAnsi="Arial" w:cs="Arial"/>
                <w:color w:val="FFFFFF" w:themeColor="background1"/>
                <w:sz w:val="24"/>
                <w:szCs w:val="24"/>
              </w:rPr>
              <w:t>)</w:t>
            </w:r>
          </w:p>
        </w:tc>
        <w:tc>
          <w:tcPr>
            <w:tcW w:w="1275"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6</w:t>
            </w:r>
            <w:r w:rsidR="008759BF">
              <w:rPr>
                <w:rFonts w:ascii="Arial" w:hAnsi="Arial" w:cs="Arial"/>
                <w:color w:val="FFFFFF" w:themeColor="background1"/>
                <w:sz w:val="24"/>
                <w:szCs w:val="24"/>
              </w:rPr>
              <w:t>7.6</w:t>
            </w:r>
            <w:r w:rsidRPr="00F00BE6">
              <w:rPr>
                <w:rFonts w:ascii="Arial" w:hAnsi="Arial" w:cs="Arial"/>
                <w:color w:val="FFFFFF" w:themeColor="background1"/>
                <w:sz w:val="24"/>
                <w:szCs w:val="24"/>
              </w:rPr>
              <w:t>%</w:t>
            </w:r>
          </w:p>
          <w:p w:rsidR="007B7CDF" w:rsidRPr="00F00BE6" w:rsidRDefault="007B7CDF" w:rsidP="008759BF">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8759BF">
              <w:rPr>
                <w:rFonts w:ascii="Arial" w:hAnsi="Arial" w:cs="Arial"/>
                <w:color w:val="FFFFFF" w:themeColor="background1"/>
                <w:sz w:val="24"/>
                <w:szCs w:val="24"/>
              </w:rPr>
              <w:t>51,989</w:t>
            </w:r>
            <w:r w:rsidRPr="00F00BE6">
              <w:rPr>
                <w:rFonts w:ascii="Arial" w:hAnsi="Arial" w:cs="Arial"/>
                <w:color w:val="FFFFFF" w:themeColor="background1"/>
                <w:sz w:val="24"/>
                <w:szCs w:val="24"/>
              </w:rPr>
              <w:t>)</w:t>
            </w:r>
          </w:p>
        </w:tc>
        <w:tc>
          <w:tcPr>
            <w:tcW w:w="1276"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31.</w:t>
            </w:r>
            <w:r w:rsidR="008759BF">
              <w:rPr>
                <w:rFonts w:ascii="Arial" w:hAnsi="Arial" w:cs="Arial"/>
                <w:color w:val="FFFFFF" w:themeColor="background1"/>
                <w:sz w:val="24"/>
                <w:szCs w:val="24"/>
              </w:rPr>
              <w:t>4</w:t>
            </w:r>
            <w:r w:rsidRPr="00F00BE6">
              <w:rPr>
                <w:rFonts w:ascii="Arial" w:hAnsi="Arial" w:cs="Arial"/>
                <w:color w:val="FFFFFF" w:themeColor="background1"/>
                <w:sz w:val="24"/>
                <w:szCs w:val="24"/>
              </w:rPr>
              <w:t>%</w:t>
            </w:r>
          </w:p>
          <w:p w:rsidR="007B7CDF" w:rsidRPr="00F00BE6" w:rsidRDefault="007B7CDF" w:rsidP="008759BF">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(4,</w:t>
            </w:r>
            <w:r w:rsidR="008759BF">
              <w:rPr>
                <w:rFonts w:ascii="Arial" w:hAnsi="Arial" w:cs="Arial"/>
                <w:color w:val="FFFFFF" w:themeColor="background1"/>
                <w:sz w:val="24"/>
                <w:szCs w:val="24"/>
              </w:rPr>
              <w:t>492</w:t>
            </w:r>
            <w:r w:rsidRPr="00F00BE6">
              <w:rPr>
                <w:rFonts w:ascii="Arial" w:hAnsi="Arial" w:cs="Arial"/>
                <w:color w:val="FFFFFF" w:themeColor="background1"/>
                <w:sz w:val="24"/>
                <w:szCs w:val="24"/>
              </w:rPr>
              <w:t>)</w:t>
            </w:r>
          </w:p>
        </w:tc>
        <w:tc>
          <w:tcPr>
            <w:tcW w:w="1276" w:type="dxa"/>
            <w:shd w:val="clear" w:color="auto" w:fill="575756"/>
          </w:tcPr>
          <w:p w:rsidR="007B7CDF" w:rsidRPr="00F00BE6" w:rsidRDefault="008759BF"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29.1</w:t>
            </w:r>
            <w:r w:rsidR="007B7CDF" w:rsidRPr="00F00BE6">
              <w:rPr>
                <w:rFonts w:ascii="Arial" w:hAnsi="Arial" w:cs="Arial"/>
                <w:color w:val="FFFFFF" w:themeColor="background1"/>
                <w:sz w:val="24"/>
                <w:szCs w:val="24"/>
              </w:rPr>
              <w:t>%</w:t>
            </w:r>
          </w:p>
          <w:p w:rsidR="007B7CDF" w:rsidRPr="00F00BE6" w:rsidRDefault="008759BF" w:rsidP="008759BF">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(3,325</w:t>
            </w:r>
            <w:r w:rsidR="007B7CDF" w:rsidRPr="00F00BE6">
              <w:rPr>
                <w:rFonts w:ascii="Arial" w:hAnsi="Arial" w:cs="Arial"/>
                <w:color w:val="FFFFFF" w:themeColor="background1"/>
                <w:sz w:val="24"/>
                <w:szCs w:val="24"/>
              </w:rPr>
              <w:t>)</w:t>
            </w:r>
          </w:p>
        </w:tc>
        <w:tc>
          <w:tcPr>
            <w:tcW w:w="1276"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7</w:t>
            </w:r>
            <w:r w:rsidR="008759BF">
              <w:rPr>
                <w:rFonts w:ascii="Arial" w:hAnsi="Arial" w:cs="Arial"/>
                <w:color w:val="FFFFFF" w:themeColor="background1"/>
                <w:sz w:val="24"/>
                <w:szCs w:val="24"/>
              </w:rPr>
              <w:t>6.9</w:t>
            </w:r>
            <w:r w:rsidRPr="00F00BE6">
              <w:rPr>
                <w:rFonts w:ascii="Arial" w:hAnsi="Arial" w:cs="Arial"/>
                <w:color w:val="FFFFFF" w:themeColor="background1"/>
                <w:sz w:val="24"/>
                <w:szCs w:val="24"/>
              </w:rPr>
              <w:t>%</w:t>
            </w:r>
          </w:p>
          <w:p w:rsidR="007B7CDF" w:rsidRPr="00F00BE6" w:rsidRDefault="007B7CDF" w:rsidP="008759BF">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8759BF">
              <w:rPr>
                <w:rFonts w:ascii="Arial" w:hAnsi="Arial" w:cs="Arial"/>
                <w:color w:val="FFFFFF" w:themeColor="background1"/>
                <w:sz w:val="24"/>
                <w:szCs w:val="24"/>
              </w:rPr>
              <w:t>48,600</w:t>
            </w:r>
            <w:r w:rsidRPr="00F00BE6">
              <w:rPr>
                <w:rFonts w:ascii="Arial" w:hAnsi="Arial" w:cs="Arial"/>
                <w:color w:val="FFFFFF" w:themeColor="background1"/>
                <w:sz w:val="24"/>
                <w:szCs w:val="24"/>
              </w:rPr>
              <w:t>)</w:t>
            </w:r>
          </w:p>
        </w:tc>
        <w:tc>
          <w:tcPr>
            <w:tcW w:w="1324"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7</w:t>
            </w:r>
            <w:r w:rsidR="008759BF">
              <w:rPr>
                <w:rFonts w:ascii="Arial" w:hAnsi="Arial" w:cs="Arial"/>
                <w:color w:val="FFFFFF" w:themeColor="background1"/>
                <w:sz w:val="24"/>
                <w:szCs w:val="24"/>
              </w:rPr>
              <w:t>4.4</w:t>
            </w:r>
            <w:r w:rsidRPr="00F00BE6">
              <w:rPr>
                <w:rFonts w:ascii="Arial" w:hAnsi="Arial" w:cs="Arial"/>
                <w:color w:val="FFFFFF" w:themeColor="background1"/>
                <w:sz w:val="24"/>
                <w:szCs w:val="24"/>
              </w:rPr>
              <w:t>%</w:t>
            </w:r>
          </w:p>
          <w:p w:rsidR="007B7CDF" w:rsidRPr="00F00BE6" w:rsidRDefault="007B7CDF" w:rsidP="008759BF">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(48,</w:t>
            </w:r>
            <w:r w:rsidR="008759BF">
              <w:rPr>
                <w:rFonts w:ascii="Arial" w:hAnsi="Arial" w:cs="Arial"/>
                <w:color w:val="FFFFFF" w:themeColor="background1"/>
                <w:sz w:val="24"/>
                <w:szCs w:val="24"/>
              </w:rPr>
              <w:t>662</w:t>
            </w:r>
            <w:r w:rsidRPr="00F00BE6">
              <w:rPr>
                <w:rFonts w:ascii="Arial" w:hAnsi="Arial" w:cs="Arial"/>
                <w:color w:val="FFFFFF" w:themeColor="background1"/>
                <w:sz w:val="24"/>
                <w:szCs w:val="24"/>
              </w:rPr>
              <w:t>)</w:t>
            </w:r>
          </w:p>
        </w:tc>
      </w:tr>
      <w:tr w:rsidR="008759BF" w:rsidRPr="006E2242" w:rsidTr="00A601A4">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England</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68.</w:t>
            </w:r>
            <w:r w:rsidR="008759BF">
              <w:rPr>
                <w:rFonts w:ascii="Arial" w:hAnsi="Arial" w:cs="Arial"/>
                <w:sz w:val="24"/>
                <w:szCs w:val="24"/>
              </w:rPr>
              <w:t>8</w:t>
            </w:r>
            <w:r w:rsidRPr="006E2242">
              <w:rPr>
                <w:rFonts w:ascii="Arial" w:hAnsi="Arial" w:cs="Arial"/>
                <w:sz w:val="24"/>
                <w:szCs w:val="24"/>
              </w:rPr>
              <w:t>%</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w:t>
            </w:r>
            <w:r w:rsidR="008759BF">
              <w:rPr>
                <w:rFonts w:ascii="Arial" w:hAnsi="Arial" w:cs="Arial"/>
                <w:sz w:val="24"/>
                <w:szCs w:val="24"/>
              </w:rPr>
              <w:t>385,244</w:t>
            </w:r>
            <w:r w:rsidRPr="006E2242">
              <w:rPr>
                <w:rFonts w:ascii="Arial" w:hAnsi="Arial" w:cs="Arial"/>
                <w:sz w:val="24"/>
                <w:szCs w:val="24"/>
              </w:rPr>
              <w:t>)</w:t>
            </w:r>
          </w:p>
        </w:tc>
        <w:tc>
          <w:tcPr>
            <w:tcW w:w="1275" w:type="dxa"/>
            <w:shd w:val="clear" w:color="auto" w:fill="E0E0E0"/>
          </w:tcPr>
          <w:p w:rsidR="007B7CDF" w:rsidRPr="006E2242" w:rsidRDefault="008759BF" w:rsidP="005A49A9">
            <w:pPr>
              <w:spacing w:after="0"/>
              <w:jc w:val="center"/>
              <w:rPr>
                <w:rFonts w:ascii="Arial" w:hAnsi="Arial" w:cs="Arial"/>
                <w:sz w:val="24"/>
                <w:szCs w:val="24"/>
              </w:rPr>
            </w:pPr>
            <w:r>
              <w:rPr>
                <w:rFonts w:ascii="Arial" w:hAnsi="Arial" w:cs="Arial"/>
                <w:sz w:val="24"/>
                <w:szCs w:val="24"/>
              </w:rPr>
              <w:t>68.2</w:t>
            </w:r>
            <w:r w:rsidR="007B7CDF" w:rsidRPr="006E2242">
              <w:rPr>
                <w:rFonts w:ascii="Arial" w:hAnsi="Arial" w:cs="Arial"/>
                <w:sz w:val="24"/>
                <w:szCs w:val="24"/>
              </w:rPr>
              <w:t>%</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w:t>
            </w:r>
            <w:r w:rsidR="008759BF">
              <w:rPr>
                <w:rFonts w:ascii="Arial" w:hAnsi="Arial" w:cs="Arial"/>
                <w:sz w:val="24"/>
                <w:szCs w:val="24"/>
              </w:rPr>
              <w:t>378,476</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3</w:t>
            </w:r>
            <w:r w:rsidR="008759BF">
              <w:rPr>
                <w:rFonts w:ascii="Arial" w:hAnsi="Arial" w:cs="Arial"/>
                <w:sz w:val="24"/>
                <w:szCs w:val="24"/>
              </w:rPr>
              <w:t>2.7</w:t>
            </w:r>
            <w:r w:rsidRPr="006E2242">
              <w:rPr>
                <w:rFonts w:ascii="Arial" w:hAnsi="Arial" w:cs="Arial"/>
                <w:sz w:val="24"/>
                <w:szCs w:val="24"/>
              </w:rPr>
              <w:t>%</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w:t>
            </w:r>
            <w:r w:rsidR="008759BF">
              <w:rPr>
                <w:rFonts w:ascii="Arial" w:hAnsi="Arial" w:cs="Arial"/>
                <w:sz w:val="24"/>
                <w:szCs w:val="24"/>
              </w:rPr>
              <w:t>35,930</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3</w:t>
            </w:r>
            <w:r w:rsidR="008759BF">
              <w:rPr>
                <w:rFonts w:ascii="Arial" w:hAnsi="Arial" w:cs="Arial"/>
                <w:sz w:val="24"/>
                <w:szCs w:val="24"/>
              </w:rPr>
              <w:t>0</w:t>
            </w:r>
            <w:r w:rsidRPr="006E2242">
              <w:rPr>
                <w:rFonts w:ascii="Arial" w:hAnsi="Arial" w:cs="Arial"/>
                <w:sz w:val="24"/>
                <w:szCs w:val="24"/>
              </w:rPr>
              <w:t>.6%</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w:t>
            </w:r>
            <w:r w:rsidR="008759BF">
              <w:rPr>
                <w:rFonts w:ascii="Arial" w:hAnsi="Arial" w:cs="Arial"/>
                <w:sz w:val="24"/>
                <w:szCs w:val="24"/>
              </w:rPr>
              <w:t>27,711</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7</w:t>
            </w:r>
            <w:r w:rsidR="008759BF">
              <w:rPr>
                <w:rFonts w:ascii="Arial" w:hAnsi="Arial" w:cs="Arial"/>
                <w:sz w:val="24"/>
                <w:szCs w:val="24"/>
              </w:rPr>
              <w:t>7.6</w:t>
            </w:r>
            <w:r w:rsidRPr="006E2242">
              <w:rPr>
                <w:rFonts w:ascii="Arial" w:hAnsi="Arial" w:cs="Arial"/>
                <w:sz w:val="24"/>
                <w:szCs w:val="24"/>
              </w:rPr>
              <w:t>%</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w:t>
            </w:r>
            <w:r w:rsidR="008759BF">
              <w:rPr>
                <w:rFonts w:ascii="Arial" w:hAnsi="Arial" w:cs="Arial"/>
                <w:sz w:val="24"/>
                <w:szCs w:val="24"/>
              </w:rPr>
              <w:t>349,314</w:t>
            </w:r>
            <w:r w:rsidRPr="006E2242">
              <w:rPr>
                <w:rFonts w:ascii="Arial" w:hAnsi="Arial" w:cs="Arial"/>
                <w:sz w:val="24"/>
                <w:szCs w:val="24"/>
              </w:rPr>
              <w:t>)</w:t>
            </w:r>
          </w:p>
        </w:tc>
        <w:tc>
          <w:tcPr>
            <w:tcW w:w="1324"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7</w:t>
            </w:r>
            <w:r w:rsidR="008759BF">
              <w:rPr>
                <w:rFonts w:ascii="Arial" w:hAnsi="Arial" w:cs="Arial"/>
                <w:sz w:val="24"/>
                <w:szCs w:val="24"/>
              </w:rPr>
              <w:t>5.5</w:t>
            </w:r>
            <w:r w:rsidRPr="006E2242">
              <w:rPr>
                <w:rFonts w:ascii="Arial" w:hAnsi="Arial" w:cs="Arial"/>
                <w:sz w:val="24"/>
                <w:szCs w:val="24"/>
              </w:rPr>
              <w:t>%</w:t>
            </w:r>
          </w:p>
          <w:p w:rsidR="007B7CDF" w:rsidRPr="006E2242" w:rsidRDefault="007B7CDF" w:rsidP="008759BF">
            <w:pPr>
              <w:spacing w:after="0"/>
              <w:jc w:val="center"/>
              <w:rPr>
                <w:rFonts w:ascii="Arial" w:hAnsi="Arial" w:cs="Arial"/>
                <w:sz w:val="24"/>
                <w:szCs w:val="24"/>
              </w:rPr>
            </w:pPr>
            <w:r w:rsidRPr="006E2242">
              <w:rPr>
                <w:rFonts w:ascii="Arial" w:hAnsi="Arial" w:cs="Arial"/>
                <w:sz w:val="24"/>
                <w:szCs w:val="24"/>
              </w:rPr>
              <w:t>(</w:t>
            </w:r>
            <w:r w:rsidR="008759BF">
              <w:rPr>
                <w:rFonts w:ascii="Arial" w:hAnsi="Arial" w:cs="Arial"/>
                <w:sz w:val="24"/>
                <w:szCs w:val="24"/>
              </w:rPr>
              <w:t>350,765</w:t>
            </w:r>
            <w:r w:rsidRPr="006E2242">
              <w:rPr>
                <w:rFonts w:ascii="Arial" w:hAnsi="Arial" w:cs="Arial"/>
                <w:sz w:val="24"/>
                <w:szCs w:val="24"/>
              </w:rPr>
              <w:t>)</w:t>
            </w:r>
          </w:p>
        </w:tc>
      </w:tr>
    </w:tbl>
    <w:p w:rsidR="007B7CDF" w:rsidRPr="009D3600" w:rsidRDefault="007B7CDF" w:rsidP="007B7CDF">
      <w:pPr>
        <w:spacing w:after="0"/>
        <w:rPr>
          <w:rFonts w:ascii="Arial" w:hAnsi="Arial" w:cs="Arial"/>
          <w:sz w:val="24"/>
          <w:szCs w:val="24"/>
        </w:rPr>
      </w:pPr>
    </w:p>
    <w:p w:rsidR="007B7CDF" w:rsidRPr="00BC5154" w:rsidRDefault="007B7CDF" w:rsidP="007B7CDF">
      <w:pPr>
        <w:numPr>
          <w:ilvl w:val="0"/>
          <w:numId w:val="22"/>
        </w:numPr>
        <w:autoSpaceDE w:val="0"/>
        <w:autoSpaceDN w:val="0"/>
        <w:adjustRightInd w:val="0"/>
        <w:spacing w:after="0" w:line="240" w:lineRule="auto"/>
        <w:rPr>
          <w:rFonts w:ascii="Arial" w:hAnsi="Arial" w:cs="Arial"/>
          <w:sz w:val="24"/>
          <w:szCs w:val="24"/>
        </w:rPr>
      </w:pPr>
      <w:r w:rsidRPr="00BC5154">
        <w:rPr>
          <w:rFonts w:ascii="Arial" w:hAnsi="Arial" w:cs="Arial"/>
          <w:sz w:val="24"/>
          <w:szCs w:val="24"/>
        </w:rPr>
        <w:t xml:space="preserve">Whilst Lancashire is above the North West and England positions for all young people and for </w:t>
      </w:r>
      <w:r w:rsidR="00655DD3" w:rsidRPr="00BC5154">
        <w:rPr>
          <w:rFonts w:ascii="Arial" w:hAnsi="Arial" w:cs="Arial"/>
          <w:sz w:val="24"/>
          <w:szCs w:val="24"/>
        </w:rPr>
        <w:t>young people</w:t>
      </w:r>
      <w:r w:rsidRPr="00BC5154">
        <w:rPr>
          <w:rFonts w:ascii="Arial" w:hAnsi="Arial" w:cs="Arial"/>
          <w:sz w:val="24"/>
          <w:szCs w:val="24"/>
        </w:rPr>
        <w:t xml:space="preserve"> with no identified SEN, it </w:t>
      </w:r>
      <w:r w:rsidR="00655DD3" w:rsidRPr="00BC5154">
        <w:rPr>
          <w:rFonts w:ascii="Arial" w:hAnsi="Arial" w:cs="Arial"/>
          <w:sz w:val="24"/>
          <w:szCs w:val="24"/>
        </w:rPr>
        <w:t xml:space="preserve">remains </w:t>
      </w:r>
      <w:r w:rsidRPr="00BC5154">
        <w:rPr>
          <w:rFonts w:ascii="Arial" w:hAnsi="Arial" w:cs="Arial"/>
          <w:sz w:val="24"/>
          <w:szCs w:val="24"/>
        </w:rPr>
        <w:t xml:space="preserve">below for </w:t>
      </w:r>
      <w:r w:rsidR="00655DD3" w:rsidRPr="00BC5154">
        <w:rPr>
          <w:rFonts w:ascii="Arial" w:hAnsi="Arial" w:cs="Arial"/>
          <w:sz w:val="24"/>
          <w:szCs w:val="24"/>
        </w:rPr>
        <w:t>young people</w:t>
      </w:r>
      <w:r w:rsidRPr="00BC5154">
        <w:rPr>
          <w:rFonts w:ascii="Arial" w:hAnsi="Arial" w:cs="Arial"/>
          <w:sz w:val="24"/>
          <w:szCs w:val="24"/>
        </w:rPr>
        <w:t xml:space="preserve"> with SEN</w:t>
      </w:r>
    </w:p>
    <w:p w:rsidR="007B7CDF" w:rsidRPr="00BC5154" w:rsidRDefault="00655DD3" w:rsidP="00823EA7">
      <w:pPr>
        <w:numPr>
          <w:ilvl w:val="0"/>
          <w:numId w:val="22"/>
        </w:numPr>
        <w:autoSpaceDE w:val="0"/>
        <w:autoSpaceDN w:val="0"/>
        <w:adjustRightInd w:val="0"/>
        <w:spacing w:after="0" w:line="240" w:lineRule="auto"/>
        <w:rPr>
          <w:rFonts w:ascii="Arial" w:hAnsi="Arial" w:cs="Arial"/>
          <w:sz w:val="24"/>
          <w:szCs w:val="24"/>
        </w:rPr>
      </w:pPr>
      <w:r w:rsidRPr="00BC5154">
        <w:rPr>
          <w:rFonts w:ascii="Arial" w:hAnsi="Arial" w:cs="Arial"/>
          <w:sz w:val="24"/>
          <w:szCs w:val="24"/>
        </w:rPr>
        <w:t>There have been reductions in the percentage of those achieving in all three categories for Lancashire, the North West and England.  At 1.5%, the reduction for young people with SEN in Lancashire is not as great as the North West and England reductions of 2.3% and 2.1% respectively</w:t>
      </w:r>
    </w:p>
    <w:p w:rsidR="00655DD3" w:rsidRPr="00561D52" w:rsidRDefault="00655DD3" w:rsidP="00655DD3">
      <w:pPr>
        <w:numPr>
          <w:ilvl w:val="0"/>
          <w:numId w:val="22"/>
        </w:numPr>
        <w:autoSpaceDE w:val="0"/>
        <w:autoSpaceDN w:val="0"/>
        <w:adjustRightInd w:val="0"/>
        <w:spacing w:after="0" w:line="240" w:lineRule="auto"/>
        <w:rPr>
          <w:rFonts w:ascii="Arial" w:hAnsi="Arial" w:cs="Arial"/>
          <w:sz w:val="24"/>
          <w:szCs w:val="24"/>
        </w:rPr>
      </w:pPr>
      <w:r w:rsidRPr="00BC5154">
        <w:rPr>
          <w:rFonts w:ascii="Arial" w:hAnsi="Arial" w:cs="Arial"/>
          <w:sz w:val="24"/>
          <w:szCs w:val="24"/>
        </w:rPr>
        <w:t xml:space="preserve">At 46.3 percentage points, the attainment gap between young people with SEN and young people with no identified SEN in Lancashire has reduced compared to 2017 when it was 47.3 percentage points.  The attainment gap in </w:t>
      </w:r>
      <w:r w:rsidRPr="00561D52">
        <w:rPr>
          <w:rFonts w:ascii="Arial" w:hAnsi="Arial" w:cs="Arial"/>
          <w:sz w:val="24"/>
          <w:szCs w:val="24"/>
        </w:rPr>
        <w:t>Lancashire is greater than those for the North West and England, both of which have</w:t>
      </w:r>
      <w:r>
        <w:rPr>
          <w:rFonts w:ascii="Arial" w:hAnsi="Arial" w:cs="Arial"/>
          <w:sz w:val="24"/>
          <w:szCs w:val="24"/>
        </w:rPr>
        <w:t xml:space="preserve"> seen slight reductions compa</w:t>
      </w:r>
      <w:r w:rsidRPr="00561D52">
        <w:rPr>
          <w:rFonts w:ascii="Arial" w:hAnsi="Arial" w:cs="Arial"/>
          <w:sz w:val="24"/>
          <w:szCs w:val="24"/>
        </w:rPr>
        <w:t>red to 2017</w:t>
      </w:r>
    </w:p>
    <w:p w:rsidR="007B7CDF" w:rsidRPr="009D3600" w:rsidRDefault="007B7CDF" w:rsidP="007B7CDF">
      <w:pPr>
        <w:spacing w:after="0"/>
        <w:rPr>
          <w:rFonts w:ascii="Arial" w:hAnsi="Arial" w:cs="Arial"/>
          <w:sz w:val="24"/>
          <w:szCs w:val="24"/>
        </w:rPr>
      </w:pPr>
    </w:p>
    <w:tbl>
      <w:tblPr>
        <w:tblW w:w="0" w:type="auto"/>
        <w:tblLook w:val="04A0" w:firstRow="1" w:lastRow="0" w:firstColumn="1" w:lastColumn="0" w:noHBand="0" w:noVBand="1"/>
      </w:tblPr>
      <w:tblGrid>
        <w:gridCol w:w="3022"/>
        <w:gridCol w:w="3002"/>
        <w:gridCol w:w="3002"/>
      </w:tblGrid>
      <w:tr w:rsidR="007B7CDF" w:rsidRPr="006E2242" w:rsidTr="007B7CDF">
        <w:tc>
          <w:tcPr>
            <w:tcW w:w="9854" w:type="dxa"/>
            <w:gridSpan w:val="3"/>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Young people attaining GCSE A*-C or other Level 2 qualifications in English and maths at age 19, for those who had not achieved this level by age 16</w:t>
            </w:r>
          </w:p>
        </w:tc>
      </w:tr>
      <w:tr w:rsidR="007B7CDF" w:rsidRPr="00F00BE6" w:rsidTr="005A49A9">
        <w:tc>
          <w:tcPr>
            <w:tcW w:w="3284" w:type="dxa"/>
            <w:shd w:val="clear" w:color="auto" w:fill="575756"/>
          </w:tcPr>
          <w:p w:rsidR="007B7CDF" w:rsidRPr="00F00BE6" w:rsidRDefault="007B7CDF" w:rsidP="005A49A9">
            <w:pPr>
              <w:spacing w:after="0"/>
              <w:rPr>
                <w:rFonts w:ascii="Arial" w:hAnsi="Arial" w:cs="Arial"/>
                <w:color w:val="FFFFFF" w:themeColor="background1"/>
                <w:sz w:val="24"/>
                <w:szCs w:val="24"/>
              </w:rPr>
            </w:pPr>
          </w:p>
        </w:tc>
        <w:tc>
          <w:tcPr>
            <w:tcW w:w="3285" w:type="dxa"/>
            <w:shd w:val="clear" w:color="auto" w:fill="575756"/>
          </w:tcPr>
          <w:p w:rsidR="007B7CDF" w:rsidRPr="00257C2B" w:rsidRDefault="007B7CDF"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w:t>
            </w:r>
            <w:r w:rsidR="00257C2B" w:rsidRPr="00257C2B">
              <w:rPr>
                <w:rFonts w:ascii="Arial" w:hAnsi="Arial" w:cs="Arial"/>
                <w:color w:val="FFFFFF" w:themeColor="background1"/>
                <w:sz w:val="24"/>
                <w:szCs w:val="24"/>
              </w:rPr>
              <w:t>7</w:t>
            </w:r>
          </w:p>
        </w:tc>
        <w:tc>
          <w:tcPr>
            <w:tcW w:w="3285" w:type="dxa"/>
            <w:shd w:val="clear" w:color="auto" w:fill="575756"/>
          </w:tcPr>
          <w:p w:rsidR="007B7CDF" w:rsidRPr="00257C2B" w:rsidRDefault="007B7CDF"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w:t>
            </w:r>
            <w:r w:rsidR="00257C2B" w:rsidRPr="00257C2B">
              <w:rPr>
                <w:rFonts w:ascii="Arial" w:hAnsi="Arial" w:cs="Arial"/>
                <w:color w:val="FFFFFF" w:themeColor="background1"/>
                <w:sz w:val="24"/>
                <w:szCs w:val="24"/>
              </w:rPr>
              <w:t>8</w:t>
            </w:r>
          </w:p>
        </w:tc>
      </w:tr>
      <w:tr w:rsidR="007B7CDF" w:rsidRPr="006E2242" w:rsidTr="005809E3">
        <w:tc>
          <w:tcPr>
            <w:tcW w:w="3284"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Lancashire</w:t>
            </w:r>
          </w:p>
        </w:tc>
        <w:tc>
          <w:tcPr>
            <w:tcW w:w="3285" w:type="dxa"/>
            <w:shd w:val="clear" w:color="auto" w:fill="E0E0E0"/>
          </w:tcPr>
          <w:p w:rsidR="007B7CDF" w:rsidRDefault="008759BF" w:rsidP="008759BF">
            <w:pPr>
              <w:spacing w:after="0"/>
              <w:jc w:val="center"/>
              <w:rPr>
                <w:rFonts w:ascii="Arial" w:hAnsi="Arial" w:cs="Arial"/>
                <w:sz w:val="24"/>
                <w:szCs w:val="24"/>
              </w:rPr>
            </w:pPr>
            <w:r>
              <w:rPr>
                <w:rFonts w:ascii="Arial" w:hAnsi="Arial" w:cs="Arial"/>
                <w:sz w:val="24"/>
                <w:szCs w:val="24"/>
              </w:rPr>
              <w:t>31.2</w:t>
            </w:r>
            <w:r w:rsidR="007B7CDF" w:rsidRPr="006E2242">
              <w:rPr>
                <w:rFonts w:ascii="Arial" w:hAnsi="Arial" w:cs="Arial"/>
                <w:sz w:val="24"/>
                <w:szCs w:val="24"/>
              </w:rPr>
              <w:t>%</w:t>
            </w:r>
          </w:p>
          <w:p w:rsidR="008759BF" w:rsidRPr="006E2242" w:rsidRDefault="008759BF" w:rsidP="008759BF">
            <w:pPr>
              <w:spacing w:after="0"/>
              <w:jc w:val="center"/>
              <w:rPr>
                <w:rFonts w:ascii="Arial" w:hAnsi="Arial" w:cs="Arial"/>
                <w:sz w:val="24"/>
                <w:szCs w:val="24"/>
              </w:rPr>
            </w:pPr>
            <w:r>
              <w:rPr>
                <w:rFonts w:ascii="Arial" w:hAnsi="Arial" w:cs="Arial"/>
                <w:sz w:val="24"/>
                <w:szCs w:val="24"/>
              </w:rPr>
              <w:t>(3,978)</w:t>
            </w:r>
          </w:p>
        </w:tc>
        <w:tc>
          <w:tcPr>
            <w:tcW w:w="3285" w:type="dxa"/>
            <w:shd w:val="clear" w:color="auto" w:fill="E0E0E0"/>
          </w:tcPr>
          <w:p w:rsidR="007B7CDF" w:rsidRDefault="008759BF" w:rsidP="005A49A9">
            <w:pPr>
              <w:spacing w:after="0"/>
              <w:jc w:val="center"/>
              <w:rPr>
                <w:rFonts w:ascii="Arial" w:hAnsi="Arial" w:cs="Arial"/>
                <w:sz w:val="24"/>
                <w:szCs w:val="24"/>
              </w:rPr>
            </w:pPr>
            <w:r>
              <w:rPr>
                <w:rFonts w:ascii="Arial" w:hAnsi="Arial" w:cs="Arial"/>
                <w:sz w:val="24"/>
                <w:szCs w:val="24"/>
              </w:rPr>
              <w:t>29.9</w:t>
            </w:r>
            <w:r w:rsidR="007B7CDF" w:rsidRPr="006E2242">
              <w:rPr>
                <w:rFonts w:ascii="Arial" w:hAnsi="Arial" w:cs="Arial"/>
                <w:sz w:val="24"/>
                <w:szCs w:val="24"/>
              </w:rPr>
              <w:t>%</w:t>
            </w:r>
          </w:p>
          <w:p w:rsidR="008759BF" w:rsidRPr="006E2242" w:rsidRDefault="008759BF" w:rsidP="005A49A9">
            <w:pPr>
              <w:spacing w:after="0"/>
              <w:jc w:val="center"/>
              <w:rPr>
                <w:rFonts w:ascii="Arial" w:hAnsi="Arial" w:cs="Arial"/>
                <w:sz w:val="24"/>
                <w:szCs w:val="24"/>
              </w:rPr>
            </w:pPr>
            <w:r>
              <w:rPr>
                <w:rFonts w:ascii="Arial" w:hAnsi="Arial" w:cs="Arial"/>
                <w:sz w:val="24"/>
                <w:szCs w:val="24"/>
              </w:rPr>
              <w:t>(3,789)</w:t>
            </w:r>
          </w:p>
        </w:tc>
      </w:tr>
      <w:tr w:rsidR="007B7CDF" w:rsidRPr="00F00BE6" w:rsidTr="005A49A9">
        <w:tc>
          <w:tcPr>
            <w:tcW w:w="3284" w:type="dxa"/>
            <w:shd w:val="clear" w:color="auto" w:fill="575756"/>
          </w:tcPr>
          <w:p w:rsidR="007B7CDF" w:rsidRPr="00F00BE6" w:rsidRDefault="007B7CDF" w:rsidP="005A49A9">
            <w:pPr>
              <w:spacing w:after="0"/>
              <w:rPr>
                <w:rFonts w:ascii="Arial" w:hAnsi="Arial" w:cs="Arial"/>
                <w:color w:val="FFFFFF" w:themeColor="background1"/>
                <w:sz w:val="24"/>
                <w:szCs w:val="24"/>
              </w:rPr>
            </w:pPr>
            <w:r w:rsidRPr="00F00BE6">
              <w:rPr>
                <w:rFonts w:ascii="Arial" w:hAnsi="Arial" w:cs="Arial"/>
                <w:color w:val="FFFFFF" w:themeColor="background1"/>
                <w:sz w:val="24"/>
                <w:szCs w:val="24"/>
              </w:rPr>
              <w:t>North West</w:t>
            </w:r>
          </w:p>
        </w:tc>
        <w:tc>
          <w:tcPr>
            <w:tcW w:w="3285" w:type="dxa"/>
            <w:shd w:val="clear" w:color="auto" w:fill="575756"/>
          </w:tcPr>
          <w:p w:rsidR="007B7CDF" w:rsidRDefault="008759BF"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27.4</w:t>
            </w:r>
            <w:r w:rsidR="007B7CDF" w:rsidRPr="00F00BE6">
              <w:rPr>
                <w:rFonts w:ascii="Arial" w:hAnsi="Arial" w:cs="Arial"/>
                <w:color w:val="FFFFFF" w:themeColor="background1"/>
                <w:sz w:val="24"/>
                <w:szCs w:val="24"/>
              </w:rPr>
              <w:t>%</w:t>
            </w:r>
          </w:p>
          <w:p w:rsidR="008759BF" w:rsidRPr="00F00BE6" w:rsidRDefault="008759BF"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(21,238)</w:t>
            </w:r>
          </w:p>
        </w:tc>
        <w:tc>
          <w:tcPr>
            <w:tcW w:w="3285" w:type="dxa"/>
            <w:shd w:val="clear" w:color="auto" w:fill="575756"/>
          </w:tcPr>
          <w:p w:rsidR="007B7CDF" w:rsidRDefault="008759BF" w:rsidP="008759BF">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28.0</w:t>
            </w:r>
            <w:r w:rsidR="007B7CDF" w:rsidRPr="00F00BE6">
              <w:rPr>
                <w:rFonts w:ascii="Arial" w:hAnsi="Arial" w:cs="Arial"/>
                <w:color w:val="FFFFFF" w:themeColor="background1"/>
                <w:sz w:val="24"/>
                <w:szCs w:val="24"/>
              </w:rPr>
              <w:t>%</w:t>
            </w:r>
          </w:p>
          <w:p w:rsidR="008759BF" w:rsidRPr="00F00BE6" w:rsidRDefault="008759BF" w:rsidP="008759BF">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(21,524)</w:t>
            </w:r>
          </w:p>
        </w:tc>
      </w:tr>
      <w:tr w:rsidR="007B7CDF" w:rsidRPr="006E2242" w:rsidTr="005809E3">
        <w:tc>
          <w:tcPr>
            <w:tcW w:w="3284"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England</w:t>
            </w:r>
          </w:p>
        </w:tc>
        <w:tc>
          <w:tcPr>
            <w:tcW w:w="3285" w:type="dxa"/>
            <w:shd w:val="clear" w:color="auto" w:fill="E0E0E0"/>
          </w:tcPr>
          <w:p w:rsidR="007B7CDF" w:rsidRDefault="008759BF" w:rsidP="005A49A9">
            <w:pPr>
              <w:spacing w:after="0"/>
              <w:jc w:val="center"/>
              <w:rPr>
                <w:rFonts w:ascii="Arial" w:hAnsi="Arial" w:cs="Arial"/>
                <w:sz w:val="24"/>
                <w:szCs w:val="24"/>
              </w:rPr>
            </w:pPr>
            <w:r>
              <w:rPr>
                <w:rFonts w:ascii="Arial" w:hAnsi="Arial" w:cs="Arial"/>
                <w:sz w:val="24"/>
                <w:szCs w:val="24"/>
              </w:rPr>
              <w:t>25.9</w:t>
            </w:r>
            <w:r w:rsidR="007B7CDF" w:rsidRPr="006E2242">
              <w:rPr>
                <w:rFonts w:ascii="Arial" w:hAnsi="Arial" w:cs="Arial"/>
                <w:sz w:val="24"/>
                <w:szCs w:val="24"/>
              </w:rPr>
              <w:t>%</w:t>
            </w:r>
          </w:p>
          <w:p w:rsidR="008759BF" w:rsidRPr="006E2242" w:rsidRDefault="008759BF" w:rsidP="005A49A9">
            <w:pPr>
              <w:spacing w:after="0"/>
              <w:jc w:val="center"/>
              <w:rPr>
                <w:rFonts w:ascii="Arial" w:hAnsi="Arial" w:cs="Arial"/>
                <w:sz w:val="24"/>
                <w:szCs w:val="24"/>
              </w:rPr>
            </w:pPr>
            <w:r>
              <w:rPr>
                <w:rFonts w:ascii="Arial" w:hAnsi="Arial" w:cs="Arial"/>
                <w:sz w:val="24"/>
                <w:szCs w:val="24"/>
              </w:rPr>
              <w:t>(144,857)</w:t>
            </w:r>
          </w:p>
        </w:tc>
        <w:tc>
          <w:tcPr>
            <w:tcW w:w="3285" w:type="dxa"/>
            <w:shd w:val="clear" w:color="auto" w:fill="E0E0E0"/>
          </w:tcPr>
          <w:p w:rsidR="007B7CDF" w:rsidRDefault="008759BF" w:rsidP="008759BF">
            <w:pPr>
              <w:spacing w:after="0"/>
              <w:jc w:val="center"/>
              <w:rPr>
                <w:rFonts w:ascii="Arial" w:hAnsi="Arial" w:cs="Arial"/>
                <w:sz w:val="24"/>
                <w:szCs w:val="24"/>
              </w:rPr>
            </w:pPr>
            <w:r>
              <w:rPr>
                <w:rFonts w:ascii="Arial" w:hAnsi="Arial" w:cs="Arial"/>
                <w:sz w:val="24"/>
                <w:szCs w:val="24"/>
              </w:rPr>
              <w:t>27.2</w:t>
            </w:r>
            <w:r w:rsidR="007B7CDF" w:rsidRPr="006E2242">
              <w:rPr>
                <w:rFonts w:ascii="Arial" w:hAnsi="Arial" w:cs="Arial"/>
                <w:sz w:val="24"/>
                <w:szCs w:val="24"/>
              </w:rPr>
              <w:t>%</w:t>
            </w:r>
          </w:p>
          <w:p w:rsidR="008759BF" w:rsidRPr="006E2242" w:rsidRDefault="008759BF" w:rsidP="008759BF">
            <w:pPr>
              <w:spacing w:after="0"/>
              <w:jc w:val="center"/>
              <w:rPr>
                <w:rFonts w:ascii="Arial" w:hAnsi="Arial" w:cs="Arial"/>
                <w:sz w:val="24"/>
                <w:szCs w:val="24"/>
              </w:rPr>
            </w:pPr>
            <w:r>
              <w:rPr>
                <w:rFonts w:ascii="Arial" w:hAnsi="Arial" w:cs="Arial"/>
                <w:sz w:val="24"/>
                <w:szCs w:val="24"/>
              </w:rPr>
              <w:t>(150,861)</w:t>
            </w:r>
          </w:p>
        </w:tc>
      </w:tr>
    </w:tbl>
    <w:p w:rsidR="007B7CDF" w:rsidRPr="00A601A4" w:rsidRDefault="007B7CDF" w:rsidP="007B7CDF">
      <w:pPr>
        <w:spacing w:after="0"/>
        <w:rPr>
          <w:rFonts w:ascii="Arial" w:hAnsi="Arial" w:cs="Arial"/>
          <w:sz w:val="24"/>
          <w:szCs w:val="24"/>
        </w:rPr>
      </w:pPr>
    </w:p>
    <w:p w:rsidR="007B7CDF" w:rsidRPr="00A601A4" w:rsidRDefault="00A601A4" w:rsidP="007B7CDF">
      <w:pPr>
        <w:numPr>
          <w:ilvl w:val="0"/>
          <w:numId w:val="23"/>
        </w:numPr>
        <w:autoSpaceDE w:val="0"/>
        <w:autoSpaceDN w:val="0"/>
        <w:adjustRightInd w:val="0"/>
        <w:spacing w:after="0" w:line="240" w:lineRule="auto"/>
        <w:rPr>
          <w:rFonts w:ascii="Arial" w:hAnsi="Arial" w:cs="Arial"/>
          <w:sz w:val="24"/>
          <w:szCs w:val="24"/>
        </w:rPr>
      </w:pPr>
      <w:r w:rsidRPr="00A601A4">
        <w:rPr>
          <w:rFonts w:ascii="Arial" w:hAnsi="Arial" w:cs="Arial"/>
          <w:sz w:val="24"/>
          <w:szCs w:val="24"/>
        </w:rPr>
        <w:t xml:space="preserve">Despite a drop in both the number and percentage of young people attaining GCSE A*-C or equivalent in English and maths, </w:t>
      </w:r>
      <w:r w:rsidR="007B7CDF" w:rsidRPr="00A601A4">
        <w:rPr>
          <w:rFonts w:ascii="Arial" w:hAnsi="Arial" w:cs="Arial"/>
          <w:sz w:val="24"/>
          <w:szCs w:val="24"/>
        </w:rPr>
        <w:t xml:space="preserve">Lancashire </w:t>
      </w:r>
      <w:r w:rsidRPr="00A601A4">
        <w:rPr>
          <w:rFonts w:ascii="Arial" w:hAnsi="Arial" w:cs="Arial"/>
          <w:sz w:val="24"/>
          <w:szCs w:val="24"/>
        </w:rPr>
        <w:t xml:space="preserve">remains </w:t>
      </w:r>
      <w:r w:rsidR="007B7CDF" w:rsidRPr="00A601A4">
        <w:rPr>
          <w:rFonts w:ascii="Arial" w:hAnsi="Arial" w:cs="Arial"/>
          <w:sz w:val="24"/>
          <w:szCs w:val="24"/>
        </w:rPr>
        <w:t>notably higher than both the North West and England positions</w:t>
      </w:r>
    </w:p>
    <w:p w:rsidR="007B7CDF" w:rsidRPr="00820FFB" w:rsidRDefault="007B7CDF" w:rsidP="007B7CDF">
      <w:pPr>
        <w:spacing w:after="0"/>
        <w:rPr>
          <w:rFonts w:ascii="Arial" w:hAnsi="Arial" w:cs="Arial"/>
          <w:sz w:val="24"/>
          <w:szCs w:val="24"/>
        </w:rPr>
      </w:pPr>
    </w:p>
    <w:tbl>
      <w:tblPr>
        <w:tblW w:w="9072" w:type="dxa"/>
        <w:tblLook w:val="04A0" w:firstRow="1" w:lastRow="0" w:firstColumn="1" w:lastColumn="0" w:noHBand="0" w:noVBand="1"/>
      </w:tblPr>
      <w:tblGrid>
        <w:gridCol w:w="1418"/>
        <w:gridCol w:w="1276"/>
        <w:gridCol w:w="1275"/>
        <w:gridCol w:w="1134"/>
        <w:gridCol w:w="1276"/>
        <w:gridCol w:w="1276"/>
        <w:gridCol w:w="1417"/>
      </w:tblGrid>
      <w:tr w:rsidR="007B7CDF" w:rsidRPr="008E2ACA" w:rsidTr="00A601A4">
        <w:tc>
          <w:tcPr>
            <w:tcW w:w="9072" w:type="dxa"/>
            <w:gridSpan w:val="7"/>
            <w:shd w:val="clear" w:color="auto" w:fill="00ACE9"/>
          </w:tcPr>
          <w:p w:rsidR="007B7CDF" w:rsidRPr="008E2ACA" w:rsidRDefault="007B7CDF" w:rsidP="005A49A9">
            <w:pPr>
              <w:spacing w:after="0"/>
              <w:jc w:val="center"/>
              <w:rPr>
                <w:rFonts w:ascii="Arial" w:hAnsi="Arial" w:cs="Arial"/>
                <w:color w:val="FFFFFF" w:themeColor="background1"/>
                <w:sz w:val="24"/>
                <w:szCs w:val="24"/>
              </w:rPr>
            </w:pPr>
            <w:r w:rsidRPr="008E2ACA">
              <w:rPr>
                <w:rFonts w:ascii="Arial" w:hAnsi="Arial" w:cs="Arial"/>
                <w:b/>
                <w:color w:val="FFFFFF" w:themeColor="background1"/>
                <w:sz w:val="24"/>
                <w:szCs w:val="24"/>
              </w:rPr>
              <w:t>Young people achieving level 3 by the age of 19, by FSM eligibility</w:t>
            </w:r>
          </w:p>
        </w:tc>
      </w:tr>
      <w:tr w:rsidR="007B7CDF" w:rsidRPr="00F00BE6" w:rsidTr="00A601A4">
        <w:tc>
          <w:tcPr>
            <w:tcW w:w="1418" w:type="dxa"/>
            <w:vMerge w:val="restart"/>
            <w:shd w:val="clear" w:color="auto" w:fill="575756"/>
          </w:tcPr>
          <w:p w:rsidR="007B7CDF" w:rsidRPr="00F00BE6" w:rsidRDefault="007B7CDF" w:rsidP="005A49A9">
            <w:pPr>
              <w:spacing w:after="0"/>
              <w:rPr>
                <w:rFonts w:ascii="Arial" w:hAnsi="Arial" w:cs="Arial"/>
                <w:color w:val="FFFFFF" w:themeColor="background1"/>
                <w:sz w:val="24"/>
                <w:szCs w:val="24"/>
              </w:rPr>
            </w:pPr>
          </w:p>
        </w:tc>
        <w:tc>
          <w:tcPr>
            <w:tcW w:w="2551" w:type="dxa"/>
            <w:gridSpan w:val="2"/>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All</w:t>
            </w:r>
          </w:p>
        </w:tc>
        <w:tc>
          <w:tcPr>
            <w:tcW w:w="2410" w:type="dxa"/>
            <w:gridSpan w:val="2"/>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Eligible for FSM</w:t>
            </w:r>
          </w:p>
        </w:tc>
        <w:tc>
          <w:tcPr>
            <w:tcW w:w="2693" w:type="dxa"/>
            <w:gridSpan w:val="2"/>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Not Eligible for FSM</w:t>
            </w:r>
          </w:p>
        </w:tc>
      </w:tr>
      <w:tr w:rsidR="00257C2B" w:rsidRPr="00F00BE6" w:rsidTr="00A601A4">
        <w:tc>
          <w:tcPr>
            <w:tcW w:w="1418" w:type="dxa"/>
            <w:vMerge/>
            <w:shd w:val="clear" w:color="auto" w:fill="575756"/>
          </w:tcPr>
          <w:p w:rsidR="00257C2B" w:rsidRPr="00F00BE6" w:rsidRDefault="00257C2B" w:rsidP="00257C2B">
            <w:pPr>
              <w:spacing w:after="0"/>
              <w:rPr>
                <w:rFonts w:ascii="Arial" w:hAnsi="Arial" w:cs="Arial"/>
                <w:color w:val="FFFFFF" w:themeColor="background1"/>
                <w:sz w:val="24"/>
                <w:szCs w:val="24"/>
              </w:rPr>
            </w:pP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275"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c>
          <w:tcPr>
            <w:tcW w:w="1134"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417"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r>
      <w:tr w:rsidR="007B7CDF" w:rsidRPr="006E2242" w:rsidTr="00A601A4">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Lancashire</w:t>
            </w:r>
          </w:p>
        </w:tc>
        <w:tc>
          <w:tcPr>
            <w:tcW w:w="1276" w:type="dxa"/>
            <w:shd w:val="clear" w:color="auto" w:fill="E0E0E0"/>
          </w:tcPr>
          <w:p w:rsidR="007B7CDF" w:rsidRPr="006E2242" w:rsidRDefault="007B0ABC" w:rsidP="005A49A9">
            <w:pPr>
              <w:spacing w:after="0"/>
              <w:jc w:val="center"/>
              <w:rPr>
                <w:rFonts w:ascii="Arial" w:hAnsi="Arial" w:cs="Arial"/>
                <w:sz w:val="24"/>
                <w:szCs w:val="24"/>
              </w:rPr>
            </w:pPr>
            <w:r>
              <w:rPr>
                <w:rFonts w:ascii="Arial" w:hAnsi="Arial" w:cs="Arial"/>
                <w:sz w:val="24"/>
                <w:szCs w:val="24"/>
              </w:rPr>
              <w:t>60.8</w:t>
            </w:r>
            <w:r w:rsidR="007B7CDF"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(7,</w:t>
            </w:r>
            <w:r w:rsidR="007B0ABC">
              <w:rPr>
                <w:rFonts w:ascii="Arial" w:hAnsi="Arial" w:cs="Arial"/>
                <w:sz w:val="24"/>
                <w:szCs w:val="24"/>
              </w:rPr>
              <w:t>747</w:t>
            </w:r>
            <w:r w:rsidRPr="006E2242">
              <w:rPr>
                <w:rFonts w:ascii="Arial" w:hAnsi="Arial" w:cs="Arial"/>
                <w:sz w:val="24"/>
                <w:szCs w:val="24"/>
              </w:rPr>
              <w:t>)</w:t>
            </w:r>
          </w:p>
        </w:tc>
        <w:tc>
          <w:tcPr>
            <w:tcW w:w="1275" w:type="dxa"/>
            <w:shd w:val="clear" w:color="auto" w:fill="E0E0E0"/>
          </w:tcPr>
          <w:p w:rsidR="007B7CDF" w:rsidRPr="006E2242" w:rsidRDefault="007B0ABC" w:rsidP="005A49A9">
            <w:pPr>
              <w:spacing w:after="0"/>
              <w:jc w:val="center"/>
              <w:rPr>
                <w:rFonts w:ascii="Arial" w:hAnsi="Arial" w:cs="Arial"/>
                <w:sz w:val="24"/>
                <w:szCs w:val="24"/>
              </w:rPr>
            </w:pPr>
            <w:r>
              <w:rPr>
                <w:rFonts w:ascii="Arial" w:hAnsi="Arial" w:cs="Arial"/>
                <w:sz w:val="24"/>
                <w:szCs w:val="24"/>
              </w:rPr>
              <w:t>59.5</w:t>
            </w:r>
            <w:r w:rsidR="007B7CDF"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(7,</w:t>
            </w:r>
            <w:r w:rsidR="007B0ABC">
              <w:rPr>
                <w:rFonts w:ascii="Arial" w:hAnsi="Arial" w:cs="Arial"/>
                <w:sz w:val="24"/>
                <w:szCs w:val="24"/>
              </w:rPr>
              <w:t>540</w:t>
            </w:r>
            <w:r w:rsidRPr="006E2242">
              <w:rPr>
                <w:rFonts w:ascii="Arial" w:hAnsi="Arial" w:cs="Arial"/>
                <w:sz w:val="24"/>
                <w:szCs w:val="24"/>
              </w:rPr>
              <w:t>)</w:t>
            </w:r>
          </w:p>
        </w:tc>
        <w:tc>
          <w:tcPr>
            <w:tcW w:w="1134" w:type="dxa"/>
            <w:shd w:val="clear" w:color="auto" w:fill="E0E0E0"/>
          </w:tcPr>
          <w:p w:rsidR="007B7CDF" w:rsidRPr="006E2242" w:rsidRDefault="007B0ABC" w:rsidP="005A49A9">
            <w:pPr>
              <w:spacing w:after="0"/>
              <w:jc w:val="center"/>
              <w:rPr>
                <w:rFonts w:ascii="Arial" w:hAnsi="Arial" w:cs="Arial"/>
                <w:sz w:val="24"/>
                <w:szCs w:val="24"/>
              </w:rPr>
            </w:pPr>
            <w:r>
              <w:rPr>
                <w:rFonts w:ascii="Arial" w:hAnsi="Arial" w:cs="Arial"/>
                <w:sz w:val="24"/>
                <w:szCs w:val="24"/>
              </w:rPr>
              <w:t>31.6</w:t>
            </w:r>
            <w:r w:rsidR="007B7CDF"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498</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3</w:t>
            </w:r>
            <w:r w:rsidR="007B0ABC">
              <w:rPr>
                <w:rFonts w:ascii="Arial" w:hAnsi="Arial" w:cs="Arial"/>
                <w:sz w:val="24"/>
                <w:szCs w:val="24"/>
              </w:rPr>
              <w:t>2.2</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506</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7B0ABC">
              <w:rPr>
                <w:rFonts w:ascii="Arial" w:hAnsi="Arial" w:cs="Arial"/>
                <w:sz w:val="24"/>
                <w:szCs w:val="24"/>
              </w:rPr>
              <w:t>4.9</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(7,</w:t>
            </w:r>
            <w:r w:rsidR="007B0ABC">
              <w:rPr>
                <w:rFonts w:ascii="Arial" w:hAnsi="Arial" w:cs="Arial"/>
                <w:sz w:val="24"/>
                <w:szCs w:val="24"/>
              </w:rPr>
              <w:t>249</w:t>
            </w:r>
            <w:r w:rsidRPr="006E2242">
              <w:rPr>
                <w:rFonts w:ascii="Arial" w:hAnsi="Arial" w:cs="Arial"/>
                <w:sz w:val="24"/>
                <w:szCs w:val="24"/>
              </w:rPr>
              <w:t>)</w:t>
            </w:r>
          </w:p>
        </w:tc>
        <w:tc>
          <w:tcPr>
            <w:tcW w:w="1417"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7B0ABC">
              <w:rPr>
                <w:rFonts w:ascii="Arial" w:hAnsi="Arial" w:cs="Arial"/>
                <w:sz w:val="24"/>
                <w:szCs w:val="24"/>
              </w:rPr>
              <w:t>3.4</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(7,</w:t>
            </w:r>
            <w:r w:rsidR="007B0ABC">
              <w:rPr>
                <w:rFonts w:ascii="Arial" w:hAnsi="Arial" w:cs="Arial"/>
                <w:sz w:val="24"/>
                <w:szCs w:val="24"/>
              </w:rPr>
              <w:t>034</w:t>
            </w:r>
            <w:r w:rsidRPr="006E2242">
              <w:rPr>
                <w:rFonts w:ascii="Arial" w:hAnsi="Arial" w:cs="Arial"/>
                <w:sz w:val="24"/>
                <w:szCs w:val="24"/>
              </w:rPr>
              <w:t>)</w:t>
            </w:r>
          </w:p>
        </w:tc>
      </w:tr>
      <w:tr w:rsidR="007B7CDF" w:rsidRPr="006E2242" w:rsidTr="00A601A4">
        <w:tc>
          <w:tcPr>
            <w:tcW w:w="1418" w:type="dxa"/>
            <w:shd w:val="clear" w:color="auto" w:fill="575756"/>
          </w:tcPr>
          <w:p w:rsidR="007B7CDF" w:rsidRPr="00F00BE6" w:rsidRDefault="007B7CDF" w:rsidP="005A49A9">
            <w:pPr>
              <w:spacing w:after="0"/>
              <w:rPr>
                <w:rFonts w:ascii="Arial" w:hAnsi="Arial" w:cs="Arial"/>
                <w:color w:val="FFFFFF" w:themeColor="background1"/>
                <w:sz w:val="24"/>
                <w:szCs w:val="24"/>
              </w:rPr>
            </w:pPr>
            <w:r w:rsidRPr="00F00BE6">
              <w:rPr>
                <w:rFonts w:ascii="Arial" w:hAnsi="Arial" w:cs="Arial"/>
                <w:color w:val="FFFFFF" w:themeColor="background1"/>
                <w:sz w:val="24"/>
                <w:szCs w:val="24"/>
              </w:rPr>
              <w:t>North West</w:t>
            </w:r>
          </w:p>
        </w:tc>
        <w:tc>
          <w:tcPr>
            <w:tcW w:w="1276" w:type="dxa"/>
            <w:shd w:val="clear" w:color="auto" w:fill="575756"/>
          </w:tcPr>
          <w:p w:rsidR="007B7CDF" w:rsidRPr="00F00BE6" w:rsidRDefault="007B0ABC"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57.7</w:t>
            </w:r>
            <w:r w:rsidR="007B7CDF" w:rsidRPr="00F00BE6">
              <w:rPr>
                <w:rFonts w:ascii="Arial" w:hAnsi="Arial" w:cs="Arial"/>
                <w:color w:val="FFFFFF" w:themeColor="background1"/>
                <w:sz w:val="24"/>
                <w:szCs w:val="24"/>
              </w:rPr>
              <w:t>%</w:t>
            </w:r>
          </w:p>
          <w:p w:rsidR="007B7CDF" w:rsidRPr="00F00BE6" w:rsidRDefault="007B7CDF" w:rsidP="007B0ABC">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7B0ABC">
              <w:rPr>
                <w:rFonts w:ascii="Arial" w:hAnsi="Arial" w:cs="Arial"/>
                <w:color w:val="FFFFFF" w:themeColor="background1"/>
                <w:sz w:val="24"/>
                <w:szCs w:val="24"/>
              </w:rPr>
              <w:t>44,712</w:t>
            </w:r>
            <w:r w:rsidRPr="00F00BE6">
              <w:rPr>
                <w:rFonts w:ascii="Arial" w:hAnsi="Arial" w:cs="Arial"/>
                <w:color w:val="FFFFFF" w:themeColor="background1"/>
                <w:sz w:val="24"/>
                <w:szCs w:val="24"/>
              </w:rPr>
              <w:t>)</w:t>
            </w:r>
          </w:p>
        </w:tc>
        <w:tc>
          <w:tcPr>
            <w:tcW w:w="1275"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5</w:t>
            </w:r>
            <w:r w:rsidR="007B0ABC">
              <w:rPr>
                <w:rFonts w:ascii="Arial" w:hAnsi="Arial" w:cs="Arial"/>
                <w:color w:val="FFFFFF" w:themeColor="background1"/>
                <w:sz w:val="24"/>
                <w:szCs w:val="24"/>
              </w:rPr>
              <w:t>6.8</w:t>
            </w:r>
            <w:r w:rsidRPr="00F00BE6">
              <w:rPr>
                <w:rFonts w:ascii="Arial" w:hAnsi="Arial" w:cs="Arial"/>
                <w:color w:val="FFFFFF" w:themeColor="background1"/>
                <w:sz w:val="24"/>
                <w:szCs w:val="24"/>
              </w:rPr>
              <w:t>%</w:t>
            </w:r>
          </w:p>
          <w:p w:rsidR="007B7CDF" w:rsidRPr="00F00BE6" w:rsidRDefault="007B7CDF" w:rsidP="007B0ABC">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7B0ABC">
              <w:rPr>
                <w:rFonts w:ascii="Arial" w:hAnsi="Arial" w:cs="Arial"/>
                <w:color w:val="FFFFFF" w:themeColor="background1"/>
                <w:sz w:val="24"/>
                <w:szCs w:val="24"/>
              </w:rPr>
              <w:t>43,656</w:t>
            </w:r>
            <w:r w:rsidRPr="00F00BE6">
              <w:rPr>
                <w:rFonts w:ascii="Arial" w:hAnsi="Arial" w:cs="Arial"/>
                <w:color w:val="FFFFFF" w:themeColor="background1"/>
                <w:sz w:val="24"/>
                <w:szCs w:val="24"/>
              </w:rPr>
              <w:t>)</w:t>
            </w:r>
          </w:p>
        </w:tc>
        <w:tc>
          <w:tcPr>
            <w:tcW w:w="1134"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3</w:t>
            </w:r>
            <w:r w:rsidR="007B0ABC">
              <w:rPr>
                <w:rFonts w:ascii="Arial" w:hAnsi="Arial" w:cs="Arial"/>
                <w:color w:val="FFFFFF" w:themeColor="background1"/>
                <w:sz w:val="24"/>
                <w:szCs w:val="24"/>
              </w:rPr>
              <w:t>3.8</w:t>
            </w:r>
            <w:r w:rsidRPr="00F00BE6">
              <w:rPr>
                <w:rFonts w:ascii="Arial" w:hAnsi="Arial" w:cs="Arial"/>
                <w:color w:val="FFFFFF" w:themeColor="background1"/>
                <w:sz w:val="24"/>
                <w:szCs w:val="24"/>
              </w:rPr>
              <w:t>%</w:t>
            </w:r>
          </w:p>
          <w:p w:rsidR="007B7CDF" w:rsidRPr="00F00BE6" w:rsidRDefault="007B7CDF" w:rsidP="007B0ABC">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7B0ABC">
              <w:rPr>
                <w:rFonts w:ascii="Arial" w:hAnsi="Arial" w:cs="Arial"/>
                <w:color w:val="FFFFFF" w:themeColor="background1"/>
                <w:sz w:val="24"/>
                <w:szCs w:val="24"/>
              </w:rPr>
              <w:t>4,298</w:t>
            </w:r>
            <w:r w:rsidRPr="00F00BE6">
              <w:rPr>
                <w:rFonts w:ascii="Arial" w:hAnsi="Arial" w:cs="Arial"/>
                <w:color w:val="FFFFFF" w:themeColor="background1"/>
                <w:sz w:val="24"/>
                <w:szCs w:val="24"/>
              </w:rPr>
              <w:t>)</w:t>
            </w:r>
          </w:p>
        </w:tc>
        <w:tc>
          <w:tcPr>
            <w:tcW w:w="1276"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3</w:t>
            </w:r>
            <w:r w:rsidR="007B0ABC">
              <w:rPr>
                <w:rFonts w:ascii="Arial" w:hAnsi="Arial" w:cs="Arial"/>
                <w:color w:val="FFFFFF" w:themeColor="background1"/>
                <w:sz w:val="24"/>
                <w:szCs w:val="24"/>
              </w:rPr>
              <w:t>2.9</w:t>
            </w:r>
            <w:r w:rsidRPr="00F00BE6">
              <w:rPr>
                <w:rFonts w:ascii="Arial" w:hAnsi="Arial" w:cs="Arial"/>
                <w:color w:val="FFFFFF" w:themeColor="background1"/>
                <w:sz w:val="24"/>
                <w:szCs w:val="24"/>
              </w:rPr>
              <w:t>%</w:t>
            </w:r>
          </w:p>
          <w:p w:rsidR="007B7CDF" w:rsidRPr="00F00BE6" w:rsidRDefault="007B7CDF" w:rsidP="007B0ABC">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7B0ABC">
              <w:rPr>
                <w:rFonts w:ascii="Arial" w:hAnsi="Arial" w:cs="Arial"/>
                <w:color w:val="FFFFFF" w:themeColor="background1"/>
                <w:sz w:val="24"/>
                <w:szCs w:val="24"/>
              </w:rPr>
              <w:t>4,029</w:t>
            </w:r>
            <w:r w:rsidRPr="00F00BE6">
              <w:rPr>
                <w:rFonts w:ascii="Arial" w:hAnsi="Arial" w:cs="Arial"/>
                <w:color w:val="FFFFFF" w:themeColor="background1"/>
                <w:sz w:val="24"/>
                <w:szCs w:val="24"/>
              </w:rPr>
              <w:t>)</w:t>
            </w:r>
          </w:p>
        </w:tc>
        <w:tc>
          <w:tcPr>
            <w:tcW w:w="1276"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6</w:t>
            </w:r>
            <w:r w:rsidR="007B0ABC">
              <w:rPr>
                <w:rFonts w:ascii="Arial" w:hAnsi="Arial" w:cs="Arial"/>
                <w:color w:val="FFFFFF" w:themeColor="background1"/>
                <w:sz w:val="24"/>
                <w:szCs w:val="24"/>
              </w:rPr>
              <w:t>2.4</w:t>
            </w:r>
            <w:r w:rsidRPr="00F00BE6">
              <w:rPr>
                <w:rFonts w:ascii="Arial" w:hAnsi="Arial" w:cs="Arial"/>
                <w:color w:val="FFFFFF" w:themeColor="background1"/>
                <w:sz w:val="24"/>
                <w:szCs w:val="24"/>
              </w:rPr>
              <w:t>%</w:t>
            </w:r>
          </w:p>
          <w:p w:rsidR="007B7CDF" w:rsidRPr="00F00BE6" w:rsidRDefault="007B7CDF" w:rsidP="007B0ABC">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7B0ABC">
              <w:rPr>
                <w:rFonts w:ascii="Arial" w:hAnsi="Arial" w:cs="Arial"/>
                <w:color w:val="FFFFFF" w:themeColor="background1"/>
                <w:sz w:val="24"/>
                <w:szCs w:val="24"/>
              </w:rPr>
              <w:t>40,419</w:t>
            </w:r>
            <w:r w:rsidRPr="00F00BE6">
              <w:rPr>
                <w:rFonts w:ascii="Arial" w:hAnsi="Arial" w:cs="Arial"/>
                <w:color w:val="FFFFFF" w:themeColor="background1"/>
                <w:sz w:val="24"/>
                <w:szCs w:val="24"/>
              </w:rPr>
              <w:t>)</w:t>
            </w:r>
          </w:p>
        </w:tc>
        <w:tc>
          <w:tcPr>
            <w:tcW w:w="1417"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6</w:t>
            </w:r>
            <w:r w:rsidR="007B0ABC">
              <w:rPr>
                <w:rFonts w:ascii="Arial" w:hAnsi="Arial" w:cs="Arial"/>
                <w:color w:val="FFFFFF" w:themeColor="background1"/>
                <w:sz w:val="24"/>
                <w:szCs w:val="24"/>
              </w:rPr>
              <w:t>1</w:t>
            </w:r>
            <w:r w:rsidRPr="00F00BE6">
              <w:rPr>
                <w:rFonts w:ascii="Arial" w:hAnsi="Arial" w:cs="Arial"/>
                <w:color w:val="FFFFFF" w:themeColor="background1"/>
                <w:sz w:val="24"/>
                <w:szCs w:val="24"/>
              </w:rPr>
              <w:t>.3%</w:t>
            </w:r>
          </w:p>
          <w:p w:rsidR="007B7CDF" w:rsidRPr="00F00BE6" w:rsidRDefault="007B7CDF" w:rsidP="007B0ABC">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7B0ABC">
              <w:rPr>
                <w:rFonts w:ascii="Arial" w:hAnsi="Arial" w:cs="Arial"/>
                <w:color w:val="FFFFFF" w:themeColor="background1"/>
                <w:sz w:val="24"/>
                <w:szCs w:val="24"/>
              </w:rPr>
              <w:t>39,626</w:t>
            </w:r>
            <w:r w:rsidRPr="00F00BE6">
              <w:rPr>
                <w:rFonts w:ascii="Arial" w:hAnsi="Arial" w:cs="Arial"/>
                <w:color w:val="FFFFFF" w:themeColor="background1"/>
                <w:sz w:val="24"/>
                <w:szCs w:val="24"/>
              </w:rPr>
              <w:t>)</w:t>
            </w:r>
          </w:p>
        </w:tc>
      </w:tr>
      <w:tr w:rsidR="007B7CDF" w:rsidRPr="006E2242" w:rsidTr="00A601A4">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England</w:t>
            </w:r>
          </w:p>
        </w:tc>
        <w:tc>
          <w:tcPr>
            <w:tcW w:w="1276" w:type="dxa"/>
            <w:shd w:val="clear" w:color="auto" w:fill="E0E0E0"/>
          </w:tcPr>
          <w:p w:rsidR="007B7CDF" w:rsidRPr="006E2242" w:rsidRDefault="007B0ABC" w:rsidP="005A49A9">
            <w:pPr>
              <w:spacing w:after="0"/>
              <w:jc w:val="center"/>
              <w:rPr>
                <w:rFonts w:ascii="Arial" w:hAnsi="Arial" w:cs="Arial"/>
                <w:sz w:val="24"/>
                <w:szCs w:val="24"/>
              </w:rPr>
            </w:pPr>
            <w:r>
              <w:rPr>
                <w:rFonts w:ascii="Arial" w:hAnsi="Arial" w:cs="Arial"/>
                <w:sz w:val="24"/>
                <w:szCs w:val="24"/>
              </w:rPr>
              <w:t>57.6</w:t>
            </w:r>
            <w:r w:rsidR="007B7CDF"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322,573</w:t>
            </w:r>
            <w:r w:rsidRPr="006E2242">
              <w:rPr>
                <w:rFonts w:ascii="Arial" w:hAnsi="Arial" w:cs="Arial"/>
                <w:sz w:val="24"/>
                <w:szCs w:val="24"/>
              </w:rPr>
              <w:t>)</w:t>
            </w:r>
          </w:p>
        </w:tc>
        <w:tc>
          <w:tcPr>
            <w:tcW w:w="1275"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57.</w:t>
            </w:r>
            <w:r w:rsidR="007B0ABC">
              <w:rPr>
                <w:rFonts w:ascii="Arial" w:hAnsi="Arial" w:cs="Arial"/>
                <w:sz w:val="24"/>
                <w:szCs w:val="24"/>
              </w:rPr>
              <w:t>2</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317,279</w:t>
            </w:r>
            <w:r w:rsidRPr="006E2242">
              <w:rPr>
                <w:rFonts w:ascii="Arial" w:hAnsi="Arial" w:cs="Arial"/>
                <w:sz w:val="24"/>
                <w:szCs w:val="24"/>
              </w:rPr>
              <w:t>)</w:t>
            </w:r>
          </w:p>
        </w:tc>
        <w:tc>
          <w:tcPr>
            <w:tcW w:w="1134"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36.</w:t>
            </w:r>
            <w:r w:rsidR="007B0ABC">
              <w:rPr>
                <w:rFonts w:ascii="Arial" w:hAnsi="Arial" w:cs="Arial"/>
                <w:sz w:val="24"/>
                <w:szCs w:val="24"/>
              </w:rPr>
              <w:t>0</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29,174</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35.</w:t>
            </w:r>
            <w:r w:rsidR="007B0ABC">
              <w:rPr>
                <w:rFonts w:ascii="Arial" w:hAnsi="Arial" w:cs="Arial"/>
                <w:sz w:val="24"/>
                <w:szCs w:val="24"/>
              </w:rPr>
              <w:t>0</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26,936</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7B0ABC">
              <w:rPr>
                <w:rFonts w:ascii="Arial" w:hAnsi="Arial" w:cs="Arial"/>
                <w:sz w:val="24"/>
                <w:szCs w:val="24"/>
              </w:rPr>
              <w:t>1.2</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293,399</w:t>
            </w:r>
            <w:r w:rsidRPr="006E2242">
              <w:rPr>
                <w:rFonts w:ascii="Arial" w:hAnsi="Arial" w:cs="Arial"/>
                <w:sz w:val="24"/>
                <w:szCs w:val="24"/>
              </w:rPr>
              <w:t>)</w:t>
            </w:r>
          </w:p>
        </w:tc>
        <w:tc>
          <w:tcPr>
            <w:tcW w:w="1417"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7B0ABC">
              <w:rPr>
                <w:rFonts w:ascii="Arial" w:hAnsi="Arial" w:cs="Arial"/>
                <w:sz w:val="24"/>
                <w:szCs w:val="24"/>
              </w:rPr>
              <w:t>0.7</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290,343</w:t>
            </w:r>
            <w:r w:rsidRPr="006E2242">
              <w:rPr>
                <w:rFonts w:ascii="Arial" w:hAnsi="Arial" w:cs="Arial"/>
                <w:sz w:val="24"/>
                <w:szCs w:val="24"/>
              </w:rPr>
              <w:t>)</w:t>
            </w:r>
          </w:p>
        </w:tc>
      </w:tr>
    </w:tbl>
    <w:p w:rsidR="007B7CDF" w:rsidRPr="00BC5154" w:rsidRDefault="007B7CDF" w:rsidP="007B7CDF">
      <w:pPr>
        <w:numPr>
          <w:ilvl w:val="0"/>
          <w:numId w:val="22"/>
        </w:numPr>
        <w:autoSpaceDE w:val="0"/>
        <w:autoSpaceDN w:val="0"/>
        <w:adjustRightInd w:val="0"/>
        <w:spacing w:after="0" w:line="240" w:lineRule="auto"/>
        <w:rPr>
          <w:rFonts w:ascii="Arial" w:hAnsi="Arial" w:cs="Arial"/>
          <w:sz w:val="24"/>
          <w:szCs w:val="24"/>
        </w:rPr>
      </w:pPr>
      <w:r w:rsidRPr="00BC5154">
        <w:rPr>
          <w:rFonts w:ascii="Arial" w:hAnsi="Arial" w:cs="Arial"/>
          <w:sz w:val="24"/>
          <w:szCs w:val="24"/>
        </w:rPr>
        <w:lastRenderedPageBreak/>
        <w:t xml:space="preserve">Whilst Lancashire is above the North West and England positions for all young people and for those </w:t>
      </w:r>
      <w:r w:rsidR="00BC5154" w:rsidRPr="00BC5154">
        <w:rPr>
          <w:rFonts w:ascii="Arial" w:hAnsi="Arial" w:cs="Arial"/>
          <w:sz w:val="24"/>
          <w:szCs w:val="24"/>
        </w:rPr>
        <w:t>young people</w:t>
      </w:r>
      <w:r w:rsidRPr="00BC5154">
        <w:rPr>
          <w:rFonts w:ascii="Arial" w:hAnsi="Arial" w:cs="Arial"/>
          <w:sz w:val="24"/>
          <w:szCs w:val="24"/>
        </w:rPr>
        <w:t xml:space="preserve"> eligible for FSM, it</w:t>
      </w:r>
      <w:r w:rsidR="00BC5154" w:rsidRPr="00BC5154">
        <w:rPr>
          <w:rFonts w:ascii="Arial" w:hAnsi="Arial" w:cs="Arial"/>
          <w:sz w:val="24"/>
          <w:szCs w:val="24"/>
        </w:rPr>
        <w:t xml:space="preserve"> continues to be </w:t>
      </w:r>
      <w:r w:rsidRPr="00BC5154">
        <w:rPr>
          <w:rFonts w:ascii="Arial" w:hAnsi="Arial" w:cs="Arial"/>
          <w:sz w:val="24"/>
          <w:szCs w:val="24"/>
        </w:rPr>
        <w:t xml:space="preserve">below for </w:t>
      </w:r>
      <w:r w:rsidR="00BC5154" w:rsidRPr="00BC5154">
        <w:rPr>
          <w:rFonts w:ascii="Arial" w:hAnsi="Arial" w:cs="Arial"/>
          <w:sz w:val="24"/>
          <w:szCs w:val="24"/>
        </w:rPr>
        <w:t>young people</w:t>
      </w:r>
      <w:r w:rsidRPr="00BC5154">
        <w:rPr>
          <w:rFonts w:ascii="Arial" w:hAnsi="Arial" w:cs="Arial"/>
          <w:sz w:val="24"/>
          <w:szCs w:val="24"/>
        </w:rPr>
        <w:t xml:space="preserve"> eligible for FSM</w:t>
      </w:r>
    </w:p>
    <w:p w:rsidR="00BC5154" w:rsidRPr="00BC5154" w:rsidRDefault="00BC5154" w:rsidP="00BC5154">
      <w:pPr>
        <w:numPr>
          <w:ilvl w:val="0"/>
          <w:numId w:val="22"/>
        </w:numPr>
        <w:autoSpaceDE w:val="0"/>
        <w:autoSpaceDN w:val="0"/>
        <w:adjustRightInd w:val="0"/>
        <w:spacing w:after="0" w:line="240" w:lineRule="auto"/>
        <w:rPr>
          <w:rFonts w:ascii="Arial" w:hAnsi="Arial" w:cs="Arial"/>
          <w:sz w:val="24"/>
          <w:szCs w:val="24"/>
        </w:rPr>
      </w:pPr>
      <w:r w:rsidRPr="00844E90">
        <w:rPr>
          <w:rFonts w:ascii="Arial" w:hAnsi="Arial" w:cs="Arial"/>
          <w:sz w:val="24"/>
          <w:szCs w:val="24"/>
        </w:rPr>
        <w:t xml:space="preserve">There have been reductions in the percentage of </w:t>
      </w:r>
      <w:r>
        <w:rPr>
          <w:rFonts w:ascii="Arial" w:hAnsi="Arial" w:cs="Arial"/>
          <w:sz w:val="24"/>
          <w:szCs w:val="24"/>
        </w:rPr>
        <w:t>young people</w:t>
      </w:r>
      <w:r w:rsidRPr="00844E90">
        <w:rPr>
          <w:rFonts w:ascii="Arial" w:hAnsi="Arial" w:cs="Arial"/>
          <w:sz w:val="24"/>
          <w:szCs w:val="24"/>
        </w:rPr>
        <w:t xml:space="preserve"> achieving in all three groups for Lancashire, the North West and England</w:t>
      </w:r>
      <w:r>
        <w:rPr>
          <w:rFonts w:ascii="Arial" w:hAnsi="Arial" w:cs="Arial"/>
          <w:sz w:val="24"/>
          <w:szCs w:val="24"/>
        </w:rPr>
        <w:t xml:space="preserve">, apart from young people eligible for FSM in Lancashire, which has seen an increase of </w:t>
      </w:r>
      <w:r w:rsidRPr="00BC5154">
        <w:rPr>
          <w:rFonts w:ascii="Arial" w:hAnsi="Arial" w:cs="Arial"/>
          <w:sz w:val="24"/>
          <w:szCs w:val="24"/>
        </w:rPr>
        <w:t>0.6%, compared to the previous year</w:t>
      </w:r>
    </w:p>
    <w:p w:rsidR="007B7CDF" w:rsidRPr="00BC5154" w:rsidRDefault="00BC5154" w:rsidP="007B7CDF">
      <w:pPr>
        <w:numPr>
          <w:ilvl w:val="0"/>
          <w:numId w:val="22"/>
        </w:numPr>
        <w:autoSpaceDE w:val="0"/>
        <w:autoSpaceDN w:val="0"/>
        <w:adjustRightInd w:val="0"/>
        <w:spacing w:after="0" w:line="240" w:lineRule="auto"/>
        <w:rPr>
          <w:rFonts w:ascii="Arial" w:hAnsi="Arial" w:cs="Arial"/>
          <w:sz w:val="24"/>
          <w:szCs w:val="24"/>
        </w:rPr>
      </w:pPr>
      <w:r w:rsidRPr="00BC5154">
        <w:rPr>
          <w:rFonts w:ascii="Arial" w:hAnsi="Arial" w:cs="Arial"/>
          <w:sz w:val="24"/>
          <w:szCs w:val="24"/>
        </w:rPr>
        <w:t>At 31.2 percentage points, the attainment gap between young people eligible and not eligible for FSM in Lancashire has reduced compared to 2017 when it was 33.4 percentage points.  Despite the reduction, the attainment gap in Lancashire remains greater than those for the North West and England</w:t>
      </w:r>
    </w:p>
    <w:p w:rsidR="007B7CDF" w:rsidRPr="009D3600" w:rsidRDefault="007B7CDF" w:rsidP="007B7CDF">
      <w:pPr>
        <w:spacing w:after="0"/>
        <w:rPr>
          <w:rFonts w:ascii="Arial" w:hAnsi="Arial" w:cs="Arial"/>
          <w:sz w:val="24"/>
          <w:szCs w:val="24"/>
        </w:rPr>
      </w:pPr>
    </w:p>
    <w:tbl>
      <w:tblPr>
        <w:tblW w:w="9072" w:type="dxa"/>
        <w:tblLook w:val="04A0" w:firstRow="1" w:lastRow="0" w:firstColumn="1" w:lastColumn="0" w:noHBand="0" w:noVBand="1"/>
      </w:tblPr>
      <w:tblGrid>
        <w:gridCol w:w="1418"/>
        <w:gridCol w:w="1276"/>
        <w:gridCol w:w="1275"/>
        <w:gridCol w:w="1276"/>
        <w:gridCol w:w="1134"/>
        <w:gridCol w:w="1276"/>
        <w:gridCol w:w="1417"/>
      </w:tblGrid>
      <w:tr w:rsidR="007B7CDF" w:rsidRPr="008E2ACA" w:rsidTr="008F1F00">
        <w:tc>
          <w:tcPr>
            <w:tcW w:w="9072" w:type="dxa"/>
            <w:gridSpan w:val="7"/>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Young people achieving level 3 by the age of 19, by SEN status in Year 11</w:t>
            </w:r>
          </w:p>
        </w:tc>
      </w:tr>
      <w:tr w:rsidR="00A601A4" w:rsidRPr="006E2242" w:rsidTr="008F1F00">
        <w:tc>
          <w:tcPr>
            <w:tcW w:w="1418" w:type="dxa"/>
            <w:vMerge w:val="restart"/>
            <w:shd w:val="clear" w:color="auto" w:fill="575756"/>
          </w:tcPr>
          <w:p w:rsidR="007B7CDF" w:rsidRPr="00F00BE6" w:rsidRDefault="007B7CDF" w:rsidP="005A49A9">
            <w:pPr>
              <w:spacing w:after="0"/>
              <w:rPr>
                <w:rFonts w:ascii="Arial" w:hAnsi="Arial" w:cs="Arial"/>
                <w:color w:val="FFFFFF" w:themeColor="background1"/>
                <w:sz w:val="24"/>
                <w:szCs w:val="24"/>
              </w:rPr>
            </w:pPr>
          </w:p>
        </w:tc>
        <w:tc>
          <w:tcPr>
            <w:tcW w:w="2551" w:type="dxa"/>
            <w:gridSpan w:val="2"/>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All</w:t>
            </w:r>
          </w:p>
        </w:tc>
        <w:tc>
          <w:tcPr>
            <w:tcW w:w="2410" w:type="dxa"/>
            <w:gridSpan w:val="2"/>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All SEN Pupils</w:t>
            </w:r>
          </w:p>
        </w:tc>
        <w:tc>
          <w:tcPr>
            <w:tcW w:w="2693" w:type="dxa"/>
            <w:gridSpan w:val="2"/>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No Identified SEN</w:t>
            </w:r>
          </w:p>
        </w:tc>
      </w:tr>
      <w:tr w:rsidR="008F1F00" w:rsidRPr="006E2242" w:rsidTr="008F1F00">
        <w:tc>
          <w:tcPr>
            <w:tcW w:w="1418" w:type="dxa"/>
            <w:vMerge/>
            <w:shd w:val="clear" w:color="auto" w:fill="575756"/>
          </w:tcPr>
          <w:p w:rsidR="00257C2B" w:rsidRPr="00F00BE6" w:rsidRDefault="00257C2B" w:rsidP="00257C2B">
            <w:pPr>
              <w:spacing w:after="0"/>
              <w:rPr>
                <w:rFonts w:ascii="Arial" w:hAnsi="Arial" w:cs="Arial"/>
                <w:color w:val="FFFFFF" w:themeColor="background1"/>
                <w:sz w:val="24"/>
                <w:szCs w:val="24"/>
              </w:rPr>
            </w:pP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275"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134"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c>
          <w:tcPr>
            <w:tcW w:w="1276"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2017</w:t>
            </w:r>
          </w:p>
        </w:tc>
        <w:tc>
          <w:tcPr>
            <w:tcW w:w="1417" w:type="dxa"/>
            <w:shd w:val="clear" w:color="auto" w:fill="575756"/>
          </w:tcPr>
          <w:p w:rsidR="00257C2B" w:rsidRPr="00257C2B" w:rsidRDefault="00257C2B" w:rsidP="00257C2B">
            <w:pPr>
              <w:spacing w:after="0"/>
              <w:jc w:val="center"/>
              <w:rPr>
                <w:rFonts w:ascii="Arial" w:hAnsi="Arial" w:cs="Arial"/>
                <w:color w:val="FFFFFF" w:themeColor="background1"/>
                <w:sz w:val="24"/>
                <w:szCs w:val="24"/>
              </w:rPr>
            </w:pPr>
            <w:r w:rsidRPr="00257C2B">
              <w:rPr>
                <w:rFonts w:ascii="Arial" w:hAnsi="Arial" w:cs="Arial"/>
                <w:color w:val="FFFFFF" w:themeColor="background1"/>
                <w:sz w:val="24"/>
                <w:szCs w:val="24"/>
              </w:rPr>
              <w:t>2018</w:t>
            </w:r>
          </w:p>
        </w:tc>
      </w:tr>
      <w:tr w:rsidR="008F1F00" w:rsidRPr="006E2242" w:rsidTr="008F1F00">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Lancashire</w:t>
            </w:r>
          </w:p>
        </w:tc>
        <w:tc>
          <w:tcPr>
            <w:tcW w:w="1276" w:type="dxa"/>
            <w:shd w:val="clear" w:color="auto" w:fill="E0E0E0"/>
          </w:tcPr>
          <w:p w:rsidR="007B7CDF" w:rsidRPr="006E2242" w:rsidRDefault="007B0ABC" w:rsidP="005A49A9">
            <w:pPr>
              <w:spacing w:after="0"/>
              <w:jc w:val="center"/>
              <w:rPr>
                <w:rFonts w:ascii="Arial" w:hAnsi="Arial" w:cs="Arial"/>
                <w:sz w:val="24"/>
                <w:szCs w:val="24"/>
              </w:rPr>
            </w:pPr>
            <w:r>
              <w:rPr>
                <w:rFonts w:ascii="Arial" w:hAnsi="Arial" w:cs="Arial"/>
                <w:sz w:val="24"/>
                <w:szCs w:val="24"/>
              </w:rPr>
              <w:t>60.8</w:t>
            </w:r>
            <w:r w:rsidR="007B7CDF"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(7,</w:t>
            </w:r>
            <w:r w:rsidR="007B0ABC">
              <w:rPr>
                <w:rFonts w:ascii="Arial" w:hAnsi="Arial" w:cs="Arial"/>
                <w:sz w:val="24"/>
                <w:szCs w:val="24"/>
              </w:rPr>
              <w:t>747</w:t>
            </w:r>
            <w:r w:rsidRPr="006E2242">
              <w:rPr>
                <w:rFonts w:ascii="Arial" w:hAnsi="Arial" w:cs="Arial"/>
                <w:sz w:val="24"/>
                <w:szCs w:val="24"/>
              </w:rPr>
              <w:t>)</w:t>
            </w:r>
          </w:p>
        </w:tc>
        <w:tc>
          <w:tcPr>
            <w:tcW w:w="1275" w:type="dxa"/>
            <w:shd w:val="clear" w:color="auto" w:fill="E0E0E0"/>
          </w:tcPr>
          <w:p w:rsidR="007B7CDF" w:rsidRPr="006E2242" w:rsidRDefault="007B0ABC" w:rsidP="005A49A9">
            <w:pPr>
              <w:spacing w:after="0"/>
              <w:jc w:val="center"/>
              <w:rPr>
                <w:rFonts w:ascii="Arial" w:hAnsi="Arial" w:cs="Arial"/>
                <w:sz w:val="24"/>
                <w:szCs w:val="24"/>
              </w:rPr>
            </w:pPr>
            <w:r>
              <w:rPr>
                <w:rFonts w:ascii="Arial" w:hAnsi="Arial" w:cs="Arial"/>
                <w:sz w:val="24"/>
                <w:szCs w:val="24"/>
              </w:rPr>
              <w:t>59.5</w:t>
            </w:r>
            <w:r w:rsidR="007B7CDF"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(7,</w:t>
            </w:r>
            <w:r w:rsidR="007B0ABC">
              <w:rPr>
                <w:rFonts w:ascii="Arial" w:hAnsi="Arial" w:cs="Arial"/>
                <w:sz w:val="24"/>
                <w:szCs w:val="24"/>
              </w:rPr>
              <w:t>540</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2</w:t>
            </w:r>
            <w:r w:rsidR="007B0ABC">
              <w:rPr>
                <w:rFonts w:ascii="Arial" w:hAnsi="Arial" w:cs="Arial"/>
                <w:sz w:val="24"/>
                <w:szCs w:val="24"/>
              </w:rPr>
              <w:t>7.4</w:t>
            </w:r>
            <w:r w:rsidRPr="006E2242">
              <w:rPr>
                <w:rFonts w:ascii="Arial" w:hAnsi="Arial" w:cs="Arial"/>
                <w:sz w:val="24"/>
                <w:szCs w:val="24"/>
              </w:rPr>
              <w:t>%</w:t>
            </w:r>
          </w:p>
          <w:p w:rsidR="007B7CDF" w:rsidRPr="006E2242" w:rsidRDefault="007B0ABC" w:rsidP="005A49A9">
            <w:pPr>
              <w:spacing w:after="0"/>
              <w:jc w:val="center"/>
              <w:rPr>
                <w:rFonts w:ascii="Arial" w:hAnsi="Arial" w:cs="Arial"/>
                <w:sz w:val="24"/>
                <w:szCs w:val="24"/>
              </w:rPr>
            </w:pPr>
            <w:r>
              <w:rPr>
                <w:rFonts w:ascii="Arial" w:hAnsi="Arial" w:cs="Arial"/>
                <w:sz w:val="24"/>
                <w:szCs w:val="24"/>
              </w:rPr>
              <w:t>(505</w:t>
            </w:r>
            <w:r w:rsidR="007B7CDF" w:rsidRPr="006E2242">
              <w:rPr>
                <w:rFonts w:ascii="Arial" w:hAnsi="Arial" w:cs="Arial"/>
                <w:sz w:val="24"/>
                <w:szCs w:val="24"/>
              </w:rPr>
              <w:t>)</w:t>
            </w:r>
          </w:p>
        </w:tc>
        <w:tc>
          <w:tcPr>
            <w:tcW w:w="1134"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2</w:t>
            </w:r>
            <w:r w:rsidR="007B0ABC">
              <w:rPr>
                <w:rFonts w:ascii="Arial" w:hAnsi="Arial" w:cs="Arial"/>
                <w:sz w:val="24"/>
                <w:szCs w:val="24"/>
              </w:rPr>
              <w:t>6.5</w:t>
            </w:r>
            <w:r w:rsidRPr="006E2242">
              <w:rPr>
                <w:rFonts w:ascii="Arial" w:hAnsi="Arial" w:cs="Arial"/>
                <w:sz w:val="24"/>
                <w:szCs w:val="24"/>
              </w:rPr>
              <w:t>%</w:t>
            </w:r>
          </w:p>
          <w:p w:rsidR="007B7CDF" w:rsidRPr="006E2242" w:rsidRDefault="007B0ABC" w:rsidP="005A49A9">
            <w:pPr>
              <w:spacing w:after="0"/>
              <w:jc w:val="center"/>
              <w:rPr>
                <w:rFonts w:ascii="Arial" w:hAnsi="Arial" w:cs="Arial"/>
                <w:sz w:val="24"/>
                <w:szCs w:val="24"/>
              </w:rPr>
            </w:pPr>
            <w:r>
              <w:rPr>
                <w:rFonts w:ascii="Arial" w:hAnsi="Arial" w:cs="Arial"/>
                <w:sz w:val="24"/>
                <w:szCs w:val="24"/>
              </w:rPr>
              <w:t>(392</w:t>
            </w:r>
            <w:r w:rsidR="007B7CDF"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7B0ABC">
              <w:rPr>
                <w:rFonts w:ascii="Arial" w:hAnsi="Arial" w:cs="Arial"/>
                <w:sz w:val="24"/>
                <w:szCs w:val="24"/>
              </w:rPr>
              <w:t>6.5</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7,242</w:t>
            </w:r>
            <w:r w:rsidRPr="006E2242">
              <w:rPr>
                <w:rFonts w:ascii="Arial" w:hAnsi="Arial" w:cs="Arial"/>
                <w:sz w:val="24"/>
                <w:szCs w:val="24"/>
              </w:rPr>
              <w:t>)</w:t>
            </w:r>
          </w:p>
        </w:tc>
        <w:tc>
          <w:tcPr>
            <w:tcW w:w="1417"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7B0ABC">
              <w:rPr>
                <w:rFonts w:ascii="Arial" w:hAnsi="Arial" w:cs="Arial"/>
                <w:sz w:val="24"/>
                <w:szCs w:val="24"/>
              </w:rPr>
              <w:t>3.9</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7,148</w:t>
            </w:r>
            <w:r w:rsidRPr="006E2242">
              <w:rPr>
                <w:rFonts w:ascii="Arial" w:hAnsi="Arial" w:cs="Arial"/>
                <w:sz w:val="24"/>
                <w:szCs w:val="24"/>
              </w:rPr>
              <w:t>)</w:t>
            </w:r>
          </w:p>
        </w:tc>
      </w:tr>
      <w:tr w:rsidR="008F1F00" w:rsidRPr="006E2242" w:rsidTr="008F1F00">
        <w:tc>
          <w:tcPr>
            <w:tcW w:w="1418" w:type="dxa"/>
            <w:shd w:val="clear" w:color="auto" w:fill="575756"/>
          </w:tcPr>
          <w:p w:rsidR="007B7CDF" w:rsidRPr="00F00BE6" w:rsidRDefault="007B7CDF" w:rsidP="005A49A9">
            <w:pPr>
              <w:spacing w:after="0"/>
              <w:rPr>
                <w:rFonts w:ascii="Arial" w:hAnsi="Arial" w:cs="Arial"/>
                <w:color w:val="FFFFFF" w:themeColor="background1"/>
                <w:sz w:val="24"/>
                <w:szCs w:val="24"/>
              </w:rPr>
            </w:pPr>
            <w:r w:rsidRPr="00F00BE6">
              <w:rPr>
                <w:rFonts w:ascii="Arial" w:hAnsi="Arial" w:cs="Arial"/>
                <w:color w:val="FFFFFF" w:themeColor="background1"/>
                <w:sz w:val="24"/>
                <w:szCs w:val="24"/>
              </w:rPr>
              <w:t>North West</w:t>
            </w:r>
          </w:p>
        </w:tc>
        <w:tc>
          <w:tcPr>
            <w:tcW w:w="1276"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57.</w:t>
            </w:r>
            <w:r w:rsidR="007B0ABC">
              <w:rPr>
                <w:rFonts w:ascii="Arial" w:hAnsi="Arial" w:cs="Arial"/>
                <w:color w:val="FFFFFF" w:themeColor="background1"/>
                <w:sz w:val="24"/>
                <w:szCs w:val="24"/>
              </w:rPr>
              <w:t>7</w:t>
            </w:r>
            <w:r w:rsidRPr="00F00BE6">
              <w:rPr>
                <w:rFonts w:ascii="Arial" w:hAnsi="Arial" w:cs="Arial"/>
                <w:color w:val="FFFFFF" w:themeColor="background1"/>
                <w:sz w:val="24"/>
                <w:szCs w:val="24"/>
              </w:rPr>
              <w:t>%</w:t>
            </w:r>
          </w:p>
          <w:p w:rsidR="007B7CDF" w:rsidRPr="00F00BE6" w:rsidRDefault="007B7CDF" w:rsidP="007B0ABC">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(4</w:t>
            </w:r>
            <w:r w:rsidR="007B0ABC">
              <w:rPr>
                <w:rFonts w:ascii="Arial" w:hAnsi="Arial" w:cs="Arial"/>
                <w:color w:val="FFFFFF" w:themeColor="background1"/>
                <w:sz w:val="24"/>
                <w:szCs w:val="24"/>
              </w:rPr>
              <w:t>4,712</w:t>
            </w:r>
            <w:r w:rsidRPr="00F00BE6">
              <w:rPr>
                <w:rFonts w:ascii="Arial" w:hAnsi="Arial" w:cs="Arial"/>
                <w:color w:val="FFFFFF" w:themeColor="background1"/>
                <w:sz w:val="24"/>
                <w:szCs w:val="24"/>
              </w:rPr>
              <w:t>)</w:t>
            </w:r>
          </w:p>
        </w:tc>
        <w:tc>
          <w:tcPr>
            <w:tcW w:w="1275"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5</w:t>
            </w:r>
            <w:r w:rsidR="007B0ABC">
              <w:rPr>
                <w:rFonts w:ascii="Arial" w:hAnsi="Arial" w:cs="Arial"/>
                <w:color w:val="FFFFFF" w:themeColor="background1"/>
                <w:sz w:val="24"/>
                <w:szCs w:val="24"/>
              </w:rPr>
              <w:t>6.8</w:t>
            </w:r>
            <w:r w:rsidRPr="00F00BE6">
              <w:rPr>
                <w:rFonts w:ascii="Arial" w:hAnsi="Arial" w:cs="Arial"/>
                <w:color w:val="FFFFFF" w:themeColor="background1"/>
                <w:sz w:val="24"/>
                <w:szCs w:val="24"/>
              </w:rPr>
              <w:t>%</w:t>
            </w:r>
          </w:p>
          <w:p w:rsidR="007B7CDF" w:rsidRPr="00F00BE6" w:rsidRDefault="007B0ABC"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(43,656</w:t>
            </w:r>
            <w:r w:rsidR="007B7CDF" w:rsidRPr="00F00BE6">
              <w:rPr>
                <w:rFonts w:ascii="Arial" w:hAnsi="Arial" w:cs="Arial"/>
                <w:color w:val="FFFFFF" w:themeColor="background1"/>
                <w:sz w:val="24"/>
                <w:szCs w:val="24"/>
              </w:rPr>
              <w:t>)</w:t>
            </w:r>
          </w:p>
        </w:tc>
        <w:tc>
          <w:tcPr>
            <w:tcW w:w="1276"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2</w:t>
            </w:r>
            <w:r w:rsidR="007B0ABC">
              <w:rPr>
                <w:rFonts w:ascii="Arial" w:hAnsi="Arial" w:cs="Arial"/>
                <w:color w:val="FFFFFF" w:themeColor="background1"/>
                <w:sz w:val="24"/>
                <w:szCs w:val="24"/>
              </w:rPr>
              <w:t>7.9</w:t>
            </w:r>
            <w:r w:rsidRPr="00F00BE6">
              <w:rPr>
                <w:rFonts w:ascii="Arial" w:hAnsi="Arial" w:cs="Arial"/>
                <w:color w:val="FFFFFF" w:themeColor="background1"/>
                <w:sz w:val="24"/>
                <w:szCs w:val="24"/>
              </w:rPr>
              <w:t>%</w:t>
            </w:r>
          </w:p>
          <w:p w:rsidR="007B7CDF" w:rsidRPr="00F00BE6" w:rsidRDefault="007B7CDF" w:rsidP="007B0ABC">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7B0ABC">
              <w:rPr>
                <w:rFonts w:ascii="Arial" w:hAnsi="Arial" w:cs="Arial"/>
                <w:color w:val="FFFFFF" w:themeColor="background1"/>
                <w:sz w:val="24"/>
                <w:szCs w:val="24"/>
              </w:rPr>
              <w:t>3,980</w:t>
            </w:r>
            <w:r w:rsidRPr="00F00BE6">
              <w:rPr>
                <w:rFonts w:ascii="Arial" w:hAnsi="Arial" w:cs="Arial"/>
                <w:color w:val="FFFFFF" w:themeColor="background1"/>
                <w:sz w:val="24"/>
                <w:szCs w:val="24"/>
              </w:rPr>
              <w:t>)</w:t>
            </w:r>
          </w:p>
        </w:tc>
        <w:tc>
          <w:tcPr>
            <w:tcW w:w="1134"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2</w:t>
            </w:r>
            <w:r w:rsidR="007B0ABC">
              <w:rPr>
                <w:rFonts w:ascii="Arial" w:hAnsi="Arial" w:cs="Arial"/>
                <w:color w:val="FFFFFF" w:themeColor="background1"/>
                <w:sz w:val="24"/>
                <w:szCs w:val="24"/>
              </w:rPr>
              <w:t>5.0</w:t>
            </w:r>
            <w:r w:rsidRPr="00F00BE6">
              <w:rPr>
                <w:rFonts w:ascii="Arial" w:hAnsi="Arial" w:cs="Arial"/>
                <w:color w:val="FFFFFF" w:themeColor="background1"/>
                <w:sz w:val="24"/>
                <w:szCs w:val="24"/>
              </w:rPr>
              <w:t>%</w:t>
            </w:r>
          </w:p>
          <w:p w:rsidR="007B7CDF" w:rsidRPr="00F00BE6" w:rsidRDefault="007B7CDF" w:rsidP="007B0ABC">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7B0ABC">
              <w:rPr>
                <w:rFonts w:ascii="Arial" w:hAnsi="Arial" w:cs="Arial"/>
                <w:color w:val="FFFFFF" w:themeColor="background1"/>
                <w:sz w:val="24"/>
                <w:szCs w:val="24"/>
              </w:rPr>
              <w:t>2,861</w:t>
            </w:r>
            <w:r w:rsidRPr="00F00BE6">
              <w:rPr>
                <w:rFonts w:ascii="Arial" w:hAnsi="Arial" w:cs="Arial"/>
                <w:color w:val="FFFFFF" w:themeColor="background1"/>
                <w:sz w:val="24"/>
                <w:szCs w:val="24"/>
              </w:rPr>
              <w:t>)</w:t>
            </w:r>
          </w:p>
        </w:tc>
        <w:tc>
          <w:tcPr>
            <w:tcW w:w="1276"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64.</w:t>
            </w:r>
            <w:r w:rsidR="007B0ABC">
              <w:rPr>
                <w:rFonts w:ascii="Arial" w:hAnsi="Arial" w:cs="Arial"/>
                <w:color w:val="FFFFFF" w:themeColor="background1"/>
                <w:sz w:val="24"/>
                <w:szCs w:val="24"/>
              </w:rPr>
              <w:t>5</w:t>
            </w:r>
            <w:r w:rsidRPr="00F00BE6">
              <w:rPr>
                <w:rFonts w:ascii="Arial" w:hAnsi="Arial" w:cs="Arial"/>
                <w:color w:val="FFFFFF" w:themeColor="background1"/>
                <w:sz w:val="24"/>
                <w:szCs w:val="24"/>
              </w:rPr>
              <w:t>%</w:t>
            </w:r>
          </w:p>
          <w:p w:rsidR="007B7CDF" w:rsidRPr="00F00BE6" w:rsidRDefault="007B7CDF" w:rsidP="007B0ABC">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7B0ABC">
              <w:rPr>
                <w:rFonts w:ascii="Arial" w:hAnsi="Arial" w:cs="Arial"/>
                <w:color w:val="FFFFFF" w:themeColor="background1"/>
                <w:sz w:val="24"/>
                <w:szCs w:val="24"/>
              </w:rPr>
              <w:t>40,738</w:t>
            </w:r>
            <w:r w:rsidRPr="00F00BE6">
              <w:rPr>
                <w:rFonts w:ascii="Arial" w:hAnsi="Arial" w:cs="Arial"/>
                <w:color w:val="FFFFFF" w:themeColor="background1"/>
                <w:sz w:val="24"/>
                <w:szCs w:val="24"/>
              </w:rPr>
              <w:t>)</w:t>
            </w:r>
          </w:p>
        </w:tc>
        <w:tc>
          <w:tcPr>
            <w:tcW w:w="1417" w:type="dxa"/>
            <w:shd w:val="clear" w:color="auto" w:fill="575756"/>
          </w:tcPr>
          <w:p w:rsidR="007B7CDF" w:rsidRPr="00F00BE6" w:rsidRDefault="007B7CDF" w:rsidP="005A49A9">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6</w:t>
            </w:r>
            <w:r w:rsidR="007B0ABC">
              <w:rPr>
                <w:rFonts w:ascii="Arial" w:hAnsi="Arial" w:cs="Arial"/>
                <w:color w:val="FFFFFF" w:themeColor="background1"/>
                <w:sz w:val="24"/>
                <w:szCs w:val="24"/>
              </w:rPr>
              <w:t>2.3</w:t>
            </w:r>
            <w:r w:rsidRPr="00F00BE6">
              <w:rPr>
                <w:rFonts w:ascii="Arial" w:hAnsi="Arial" w:cs="Arial"/>
                <w:color w:val="FFFFFF" w:themeColor="background1"/>
                <w:sz w:val="24"/>
                <w:szCs w:val="24"/>
              </w:rPr>
              <w:t>%</w:t>
            </w:r>
          </w:p>
          <w:p w:rsidR="007B7CDF" w:rsidRPr="00F00BE6" w:rsidRDefault="007B7CDF" w:rsidP="007B0ABC">
            <w:pPr>
              <w:spacing w:after="0"/>
              <w:jc w:val="center"/>
              <w:rPr>
                <w:rFonts w:ascii="Arial" w:hAnsi="Arial" w:cs="Arial"/>
                <w:color w:val="FFFFFF" w:themeColor="background1"/>
                <w:sz w:val="24"/>
                <w:szCs w:val="24"/>
              </w:rPr>
            </w:pPr>
            <w:r w:rsidRPr="00F00BE6">
              <w:rPr>
                <w:rFonts w:ascii="Arial" w:hAnsi="Arial" w:cs="Arial"/>
                <w:color w:val="FFFFFF" w:themeColor="background1"/>
                <w:sz w:val="24"/>
                <w:szCs w:val="24"/>
              </w:rPr>
              <w:t>(</w:t>
            </w:r>
            <w:r w:rsidR="007B0ABC">
              <w:rPr>
                <w:rFonts w:ascii="Arial" w:hAnsi="Arial" w:cs="Arial"/>
                <w:color w:val="FFFFFF" w:themeColor="background1"/>
                <w:sz w:val="24"/>
                <w:szCs w:val="24"/>
              </w:rPr>
              <w:t>40,793</w:t>
            </w:r>
            <w:r w:rsidRPr="00F00BE6">
              <w:rPr>
                <w:rFonts w:ascii="Arial" w:hAnsi="Arial" w:cs="Arial"/>
                <w:color w:val="FFFFFF" w:themeColor="background1"/>
                <w:sz w:val="24"/>
                <w:szCs w:val="24"/>
              </w:rPr>
              <w:t>)</w:t>
            </w:r>
          </w:p>
        </w:tc>
      </w:tr>
      <w:tr w:rsidR="008F1F00" w:rsidRPr="006E2242" w:rsidTr="008F1F00">
        <w:tc>
          <w:tcPr>
            <w:tcW w:w="1418" w:type="dxa"/>
            <w:shd w:val="clear" w:color="auto" w:fill="E0E0E0"/>
          </w:tcPr>
          <w:p w:rsidR="007B7CDF" w:rsidRPr="006E2242" w:rsidRDefault="007B7CDF" w:rsidP="005A49A9">
            <w:pPr>
              <w:spacing w:after="0"/>
              <w:rPr>
                <w:rFonts w:ascii="Arial" w:hAnsi="Arial" w:cs="Arial"/>
                <w:sz w:val="24"/>
                <w:szCs w:val="24"/>
              </w:rPr>
            </w:pPr>
            <w:r w:rsidRPr="006E2242">
              <w:rPr>
                <w:rFonts w:ascii="Arial" w:hAnsi="Arial" w:cs="Arial"/>
                <w:sz w:val="24"/>
                <w:szCs w:val="24"/>
              </w:rPr>
              <w:t>England</w:t>
            </w:r>
          </w:p>
        </w:tc>
        <w:tc>
          <w:tcPr>
            <w:tcW w:w="1276" w:type="dxa"/>
            <w:shd w:val="clear" w:color="auto" w:fill="E0E0E0"/>
          </w:tcPr>
          <w:p w:rsidR="007B7CDF" w:rsidRPr="006E2242" w:rsidRDefault="007B0ABC" w:rsidP="005A49A9">
            <w:pPr>
              <w:spacing w:after="0"/>
              <w:jc w:val="center"/>
              <w:rPr>
                <w:rFonts w:ascii="Arial" w:hAnsi="Arial" w:cs="Arial"/>
                <w:sz w:val="24"/>
                <w:szCs w:val="24"/>
              </w:rPr>
            </w:pPr>
            <w:r>
              <w:rPr>
                <w:rFonts w:ascii="Arial" w:hAnsi="Arial" w:cs="Arial"/>
                <w:sz w:val="24"/>
                <w:szCs w:val="24"/>
              </w:rPr>
              <w:t>57.6</w:t>
            </w:r>
            <w:r w:rsidR="007B7CDF"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(32</w:t>
            </w:r>
            <w:r w:rsidR="007B0ABC">
              <w:rPr>
                <w:rFonts w:ascii="Arial" w:hAnsi="Arial" w:cs="Arial"/>
                <w:sz w:val="24"/>
                <w:szCs w:val="24"/>
              </w:rPr>
              <w:t>2,573</w:t>
            </w:r>
            <w:r w:rsidRPr="006E2242">
              <w:rPr>
                <w:rFonts w:ascii="Arial" w:hAnsi="Arial" w:cs="Arial"/>
                <w:sz w:val="24"/>
                <w:szCs w:val="24"/>
              </w:rPr>
              <w:t>)</w:t>
            </w:r>
          </w:p>
        </w:tc>
        <w:tc>
          <w:tcPr>
            <w:tcW w:w="1275"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57.</w:t>
            </w:r>
            <w:r w:rsidR="007B0ABC">
              <w:rPr>
                <w:rFonts w:ascii="Arial" w:hAnsi="Arial" w:cs="Arial"/>
                <w:sz w:val="24"/>
                <w:szCs w:val="24"/>
              </w:rPr>
              <w:t>2</w:t>
            </w:r>
            <w:r w:rsidRPr="006E2242">
              <w:rPr>
                <w:rFonts w:ascii="Arial" w:hAnsi="Arial" w:cs="Arial"/>
                <w:sz w:val="24"/>
                <w:szCs w:val="24"/>
              </w:rPr>
              <w:t>%</w:t>
            </w:r>
          </w:p>
          <w:p w:rsidR="007B7CDF" w:rsidRPr="006E2242" w:rsidRDefault="007B0ABC" w:rsidP="005A49A9">
            <w:pPr>
              <w:spacing w:after="0"/>
              <w:jc w:val="center"/>
              <w:rPr>
                <w:rFonts w:ascii="Arial" w:hAnsi="Arial" w:cs="Arial"/>
                <w:sz w:val="24"/>
                <w:szCs w:val="24"/>
              </w:rPr>
            </w:pPr>
            <w:r>
              <w:rPr>
                <w:rFonts w:ascii="Arial" w:hAnsi="Arial" w:cs="Arial"/>
                <w:sz w:val="24"/>
                <w:szCs w:val="24"/>
              </w:rPr>
              <w:t>(317,279</w:t>
            </w:r>
            <w:r w:rsidR="007B7CDF"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28.</w:t>
            </w:r>
            <w:r w:rsidR="007B0ABC">
              <w:rPr>
                <w:rFonts w:ascii="Arial" w:hAnsi="Arial" w:cs="Arial"/>
                <w:sz w:val="24"/>
                <w:szCs w:val="24"/>
              </w:rPr>
              <w:t>2</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30,986</w:t>
            </w:r>
            <w:r w:rsidRPr="006E2242">
              <w:rPr>
                <w:rFonts w:ascii="Arial" w:hAnsi="Arial" w:cs="Arial"/>
                <w:sz w:val="24"/>
                <w:szCs w:val="24"/>
              </w:rPr>
              <w:t>)</w:t>
            </w:r>
          </w:p>
        </w:tc>
        <w:tc>
          <w:tcPr>
            <w:tcW w:w="1134"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2</w:t>
            </w:r>
            <w:r w:rsidR="007B0ABC">
              <w:rPr>
                <w:rFonts w:ascii="Arial" w:hAnsi="Arial" w:cs="Arial"/>
                <w:sz w:val="24"/>
                <w:szCs w:val="24"/>
              </w:rPr>
              <w:t>6.6</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24,105</w:t>
            </w:r>
            <w:r w:rsidRPr="006E2242">
              <w:rPr>
                <w:rFonts w:ascii="Arial" w:hAnsi="Arial" w:cs="Arial"/>
                <w:sz w:val="24"/>
                <w:szCs w:val="24"/>
              </w:rPr>
              <w:t>)</w:t>
            </w:r>
          </w:p>
        </w:tc>
        <w:tc>
          <w:tcPr>
            <w:tcW w:w="1276"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7B0ABC">
              <w:rPr>
                <w:rFonts w:ascii="Arial" w:hAnsi="Arial" w:cs="Arial"/>
                <w:sz w:val="24"/>
                <w:szCs w:val="24"/>
              </w:rPr>
              <w:t>4.8</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291,587</w:t>
            </w:r>
            <w:r w:rsidRPr="006E2242">
              <w:rPr>
                <w:rFonts w:ascii="Arial" w:hAnsi="Arial" w:cs="Arial"/>
                <w:sz w:val="24"/>
                <w:szCs w:val="24"/>
              </w:rPr>
              <w:t>)</w:t>
            </w:r>
          </w:p>
        </w:tc>
        <w:tc>
          <w:tcPr>
            <w:tcW w:w="1417" w:type="dxa"/>
            <w:shd w:val="clear" w:color="auto" w:fill="E0E0E0"/>
          </w:tcPr>
          <w:p w:rsidR="007B7CDF" w:rsidRPr="006E2242" w:rsidRDefault="007B7CDF" w:rsidP="005A49A9">
            <w:pPr>
              <w:spacing w:after="0"/>
              <w:jc w:val="center"/>
              <w:rPr>
                <w:rFonts w:ascii="Arial" w:hAnsi="Arial" w:cs="Arial"/>
                <w:sz w:val="24"/>
                <w:szCs w:val="24"/>
              </w:rPr>
            </w:pPr>
            <w:r w:rsidRPr="006E2242">
              <w:rPr>
                <w:rFonts w:ascii="Arial" w:hAnsi="Arial" w:cs="Arial"/>
                <w:sz w:val="24"/>
                <w:szCs w:val="24"/>
              </w:rPr>
              <w:t>6</w:t>
            </w:r>
            <w:r w:rsidR="007B0ABC">
              <w:rPr>
                <w:rFonts w:ascii="Arial" w:hAnsi="Arial" w:cs="Arial"/>
                <w:sz w:val="24"/>
                <w:szCs w:val="24"/>
              </w:rPr>
              <w:t>3.1</w:t>
            </w:r>
            <w:r w:rsidRPr="006E2242">
              <w:rPr>
                <w:rFonts w:ascii="Arial" w:hAnsi="Arial" w:cs="Arial"/>
                <w:sz w:val="24"/>
                <w:szCs w:val="24"/>
              </w:rPr>
              <w:t>%</w:t>
            </w:r>
          </w:p>
          <w:p w:rsidR="007B7CDF" w:rsidRPr="006E2242" w:rsidRDefault="007B7CDF" w:rsidP="007B0ABC">
            <w:pPr>
              <w:spacing w:after="0"/>
              <w:jc w:val="center"/>
              <w:rPr>
                <w:rFonts w:ascii="Arial" w:hAnsi="Arial" w:cs="Arial"/>
                <w:sz w:val="24"/>
                <w:szCs w:val="24"/>
              </w:rPr>
            </w:pPr>
            <w:r w:rsidRPr="006E2242">
              <w:rPr>
                <w:rFonts w:ascii="Arial" w:hAnsi="Arial" w:cs="Arial"/>
                <w:sz w:val="24"/>
                <w:szCs w:val="24"/>
              </w:rPr>
              <w:t>(</w:t>
            </w:r>
            <w:r w:rsidR="007B0ABC">
              <w:rPr>
                <w:rFonts w:ascii="Arial" w:hAnsi="Arial" w:cs="Arial"/>
                <w:sz w:val="24"/>
                <w:szCs w:val="24"/>
              </w:rPr>
              <w:t>293,174</w:t>
            </w:r>
            <w:r w:rsidRPr="006E2242">
              <w:rPr>
                <w:rFonts w:ascii="Arial" w:hAnsi="Arial" w:cs="Arial"/>
                <w:sz w:val="24"/>
                <w:szCs w:val="24"/>
              </w:rPr>
              <w:t>)</w:t>
            </w:r>
          </w:p>
        </w:tc>
      </w:tr>
    </w:tbl>
    <w:p w:rsidR="007B7CDF" w:rsidRPr="00820FFB" w:rsidRDefault="007B7CDF" w:rsidP="007B7CDF">
      <w:pPr>
        <w:spacing w:after="0"/>
        <w:rPr>
          <w:rFonts w:ascii="Arial" w:hAnsi="Arial" w:cs="Arial"/>
          <w:sz w:val="24"/>
          <w:szCs w:val="24"/>
        </w:rPr>
      </w:pPr>
    </w:p>
    <w:p w:rsidR="007B7CDF" w:rsidRPr="00BC5154" w:rsidRDefault="007B7CDF" w:rsidP="007B7CDF">
      <w:pPr>
        <w:numPr>
          <w:ilvl w:val="0"/>
          <w:numId w:val="22"/>
        </w:numPr>
        <w:autoSpaceDE w:val="0"/>
        <w:autoSpaceDN w:val="0"/>
        <w:adjustRightInd w:val="0"/>
        <w:spacing w:after="0" w:line="240" w:lineRule="auto"/>
        <w:rPr>
          <w:rFonts w:ascii="Arial" w:hAnsi="Arial" w:cs="Arial"/>
          <w:sz w:val="24"/>
          <w:szCs w:val="24"/>
        </w:rPr>
      </w:pPr>
      <w:r w:rsidRPr="00BC5154">
        <w:rPr>
          <w:rFonts w:ascii="Arial" w:hAnsi="Arial" w:cs="Arial"/>
          <w:sz w:val="24"/>
          <w:szCs w:val="24"/>
        </w:rPr>
        <w:t xml:space="preserve">Whilst Lancashire is above the North West and England positions for all young people and for </w:t>
      </w:r>
      <w:r w:rsidR="00BC5154" w:rsidRPr="00BC5154">
        <w:rPr>
          <w:rFonts w:ascii="Arial" w:hAnsi="Arial" w:cs="Arial"/>
          <w:sz w:val="24"/>
          <w:szCs w:val="24"/>
        </w:rPr>
        <w:t>young people</w:t>
      </w:r>
      <w:r w:rsidRPr="00BC5154">
        <w:rPr>
          <w:rFonts w:ascii="Arial" w:hAnsi="Arial" w:cs="Arial"/>
          <w:sz w:val="24"/>
          <w:szCs w:val="24"/>
        </w:rPr>
        <w:t xml:space="preserve"> with no identified SEN, it</w:t>
      </w:r>
      <w:r w:rsidR="00BC5154" w:rsidRPr="00BC5154">
        <w:rPr>
          <w:rFonts w:ascii="Arial" w:hAnsi="Arial" w:cs="Arial"/>
          <w:sz w:val="24"/>
          <w:szCs w:val="24"/>
        </w:rPr>
        <w:t xml:space="preserve"> remains </w:t>
      </w:r>
      <w:r w:rsidRPr="00BC5154">
        <w:rPr>
          <w:rFonts w:ascii="Arial" w:hAnsi="Arial" w:cs="Arial"/>
          <w:sz w:val="24"/>
          <w:szCs w:val="24"/>
        </w:rPr>
        <w:t xml:space="preserve">below for </w:t>
      </w:r>
      <w:r w:rsidR="00BC5154" w:rsidRPr="00BC5154">
        <w:rPr>
          <w:rFonts w:ascii="Arial" w:hAnsi="Arial" w:cs="Arial"/>
          <w:sz w:val="24"/>
          <w:szCs w:val="24"/>
        </w:rPr>
        <w:t>young people</w:t>
      </w:r>
      <w:r w:rsidRPr="00BC5154">
        <w:rPr>
          <w:rFonts w:ascii="Arial" w:hAnsi="Arial" w:cs="Arial"/>
          <w:sz w:val="24"/>
          <w:szCs w:val="24"/>
        </w:rPr>
        <w:t xml:space="preserve"> with SEN</w:t>
      </w:r>
    </w:p>
    <w:p w:rsidR="00BC5154" w:rsidRPr="00820FFB" w:rsidRDefault="00BC5154" w:rsidP="00BC5154">
      <w:pPr>
        <w:numPr>
          <w:ilvl w:val="0"/>
          <w:numId w:val="22"/>
        </w:numPr>
        <w:autoSpaceDE w:val="0"/>
        <w:autoSpaceDN w:val="0"/>
        <w:adjustRightInd w:val="0"/>
        <w:spacing w:after="0" w:line="240" w:lineRule="auto"/>
        <w:rPr>
          <w:rFonts w:ascii="Arial" w:hAnsi="Arial" w:cs="Arial"/>
          <w:sz w:val="24"/>
          <w:szCs w:val="24"/>
        </w:rPr>
      </w:pPr>
      <w:r w:rsidRPr="00BC5154">
        <w:rPr>
          <w:rFonts w:ascii="Arial" w:hAnsi="Arial" w:cs="Arial"/>
          <w:sz w:val="24"/>
          <w:szCs w:val="24"/>
        </w:rPr>
        <w:t xml:space="preserve">There have been reductions in the percentage of those achieving in all three categories for Lancashire, the North West and England.  At </w:t>
      </w:r>
      <w:r>
        <w:rPr>
          <w:rFonts w:ascii="Arial" w:hAnsi="Arial" w:cs="Arial"/>
          <w:sz w:val="24"/>
          <w:szCs w:val="24"/>
        </w:rPr>
        <w:t>0.9</w:t>
      </w:r>
      <w:r w:rsidRPr="00BC5154">
        <w:rPr>
          <w:rFonts w:ascii="Arial" w:hAnsi="Arial" w:cs="Arial"/>
          <w:sz w:val="24"/>
          <w:szCs w:val="24"/>
        </w:rPr>
        <w:t xml:space="preserve">%, the reduction for young people with SEN in Lancashire is not as great as the </w:t>
      </w:r>
      <w:r w:rsidRPr="00820FFB">
        <w:rPr>
          <w:rFonts w:ascii="Arial" w:hAnsi="Arial" w:cs="Arial"/>
          <w:sz w:val="24"/>
          <w:szCs w:val="24"/>
        </w:rPr>
        <w:t xml:space="preserve">North West and England reductions of 2.9% and </w:t>
      </w:r>
      <w:r w:rsidR="00820FFB" w:rsidRPr="00820FFB">
        <w:rPr>
          <w:rFonts w:ascii="Arial" w:hAnsi="Arial" w:cs="Arial"/>
          <w:sz w:val="24"/>
          <w:szCs w:val="24"/>
        </w:rPr>
        <w:t>1.6</w:t>
      </w:r>
      <w:r w:rsidRPr="00820FFB">
        <w:rPr>
          <w:rFonts w:ascii="Arial" w:hAnsi="Arial" w:cs="Arial"/>
          <w:sz w:val="24"/>
          <w:szCs w:val="24"/>
        </w:rPr>
        <w:t>% respectively</w:t>
      </w:r>
    </w:p>
    <w:p w:rsidR="007B7CDF" w:rsidRPr="00820FFB" w:rsidRDefault="00820FFB" w:rsidP="007B7CDF">
      <w:pPr>
        <w:numPr>
          <w:ilvl w:val="0"/>
          <w:numId w:val="22"/>
        </w:numPr>
        <w:autoSpaceDE w:val="0"/>
        <w:autoSpaceDN w:val="0"/>
        <w:adjustRightInd w:val="0"/>
        <w:spacing w:after="0" w:line="240" w:lineRule="auto"/>
        <w:rPr>
          <w:rFonts w:ascii="Arial" w:hAnsi="Arial" w:cs="Arial"/>
          <w:sz w:val="24"/>
          <w:szCs w:val="24"/>
        </w:rPr>
      </w:pPr>
      <w:r w:rsidRPr="00820FFB">
        <w:rPr>
          <w:rFonts w:ascii="Arial" w:hAnsi="Arial" w:cs="Arial"/>
          <w:sz w:val="24"/>
          <w:szCs w:val="24"/>
        </w:rPr>
        <w:t>At 37.4 percentage points, the attainment gap between young people with SEN and young people with no identified SEN in Lancashire has reduced compared to 2017 when it was 39.0 percentage points.  The attainment gap in Lancashire is in line with the North West but is greater than England.  The attainment gap in the North West has increased but remains the same for England</w:t>
      </w:r>
    </w:p>
    <w:p w:rsidR="007B7CDF" w:rsidRPr="00820FFB" w:rsidRDefault="007B7CDF" w:rsidP="007B7CDF">
      <w:pPr>
        <w:spacing w:after="0" w:line="240" w:lineRule="auto"/>
        <w:rPr>
          <w:rFonts w:ascii="Arial" w:hAnsi="Arial" w:cs="Arial"/>
          <w:sz w:val="24"/>
          <w:szCs w:val="24"/>
        </w:rPr>
      </w:pPr>
    </w:p>
    <w:tbl>
      <w:tblPr>
        <w:tblStyle w:val="TableGrid"/>
        <w:tblW w:w="0" w:type="auto"/>
        <w:shd w:val="clear" w:color="auto" w:fill="0058DA"/>
        <w:tblLook w:val="04A0" w:firstRow="1" w:lastRow="0" w:firstColumn="1" w:lastColumn="0" w:noHBand="0" w:noVBand="1"/>
      </w:tblPr>
      <w:tblGrid>
        <w:gridCol w:w="9016"/>
      </w:tblGrid>
      <w:tr w:rsidR="007B7CDF" w:rsidRPr="008E2ACA" w:rsidTr="005A49A9">
        <w:tc>
          <w:tcPr>
            <w:tcW w:w="9016" w:type="dxa"/>
            <w:tcBorders>
              <w:top w:val="nil"/>
              <w:left w:val="nil"/>
              <w:bottom w:val="nil"/>
              <w:right w:val="nil"/>
            </w:tcBorders>
            <w:shd w:val="clear" w:color="auto" w:fill="00ACE9"/>
          </w:tcPr>
          <w:p w:rsidR="007B7CDF" w:rsidRPr="008E2ACA" w:rsidRDefault="007B7CDF" w:rsidP="005A49A9">
            <w:pPr>
              <w:jc w:val="center"/>
              <w:rPr>
                <w:rFonts w:ascii="Arial" w:hAnsi="Arial" w:cs="Arial"/>
                <w:color w:val="FFFFFF" w:themeColor="background1"/>
                <w:sz w:val="24"/>
                <w:szCs w:val="24"/>
              </w:rPr>
            </w:pPr>
            <w:r w:rsidRPr="008E2ACA">
              <w:rPr>
                <w:rFonts w:ascii="Arial" w:hAnsi="Arial" w:cs="Arial"/>
                <w:b/>
                <w:color w:val="FFFFFF" w:themeColor="background1"/>
                <w:sz w:val="24"/>
                <w:szCs w:val="24"/>
              </w:rPr>
              <w:t>16-</w:t>
            </w:r>
            <w:bookmarkStart w:id="6" w:name="Accountability_Measures"/>
            <w:bookmarkEnd w:id="6"/>
            <w:r w:rsidRPr="008E2ACA">
              <w:rPr>
                <w:rFonts w:ascii="Arial" w:hAnsi="Arial" w:cs="Arial"/>
                <w:b/>
                <w:color w:val="FFFFFF" w:themeColor="background1"/>
                <w:sz w:val="24"/>
                <w:szCs w:val="24"/>
              </w:rPr>
              <w:t>18 Accountability Measures</w:t>
            </w:r>
          </w:p>
        </w:tc>
      </w:tr>
    </w:tbl>
    <w:p w:rsidR="00007EF5" w:rsidRDefault="00007EF5" w:rsidP="007B7CDF">
      <w:pPr>
        <w:pStyle w:val="Default"/>
        <w:rPr>
          <w:color w:val="auto"/>
        </w:rPr>
      </w:pPr>
    </w:p>
    <w:p w:rsidR="007B7CDF" w:rsidRPr="00D70E86" w:rsidRDefault="00D94038" w:rsidP="007B7CDF">
      <w:pPr>
        <w:pStyle w:val="Default"/>
        <w:rPr>
          <w:rFonts w:eastAsia="Cambria"/>
          <w:color w:val="auto"/>
        </w:rPr>
      </w:pPr>
      <w:r w:rsidRPr="00D70E86">
        <w:rPr>
          <w:color w:val="auto"/>
        </w:rPr>
        <w:t xml:space="preserve">Accountability measures for 16-18 education and training provide a rounded picture of provider performance.  The measures published through the 16-18 performance tables are as follows: </w:t>
      </w:r>
      <w:r w:rsidR="007B7CDF" w:rsidRPr="00D70E86">
        <w:rPr>
          <w:rFonts w:eastAsia="Cambria"/>
          <w:color w:val="auto"/>
        </w:rPr>
        <w:t>progress, attainment, retention, English and maths and destinations</w:t>
      </w:r>
      <w:r w:rsidRPr="00D70E86">
        <w:rPr>
          <w:rFonts w:eastAsia="Cambria"/>
          <w:color w:val="auto"/>
        </w:rPr>
        <w:t>.  The measures a</w:t>
      </w:r>
      <w:r w:rsidR="007B7CDF" w:rsidRPr="00D70E86">
        <w:rPr>
          <w:rFonts w:eastAsia="Cambria"/>
          <w:color w:val="auto"/>
        </w:rPr>
        <w:t xml:space="preserve">re designed to place a greater emphasis on progress and progression alongside attainment, ensuring </w:t>
      </w:r>
      <w:r w:rsidRPr="00D70E86">
        <w:rPr>
          <w:rFonts w:eastAsia="Cambria"/>
          <w:color w:val="auto"/>
        </w:rPr>
        <w:t xml:space="preserve">that </w:t>
      </w:r>
      <w:r w:rsidR="007B7CDF" w:rsidRPr="00D70E86">
        <w:rPr>
          <w:rFonts w:eastAsia="Cambria"/>
          <w:color w:val="auto"/>
        </w:rPr>
        <w:t xml:space="preserve">students make progress from their starting points and that every young person leaves education capable of getting a place at university, an apprenticeship or a good job.  The key information for these measures are shown in the following tables.  </w:t>
      </w:r>
    </w:p>
    <w:p w:rsidR="007B7CDF" w:rsidRDefault="007B7CDF" w:rsidP="007B7CDF">
      <w:pPr>
        <w:spacing w:after="0"/>
        <w:rPr>
          <w:rFonts w:ascii="Arial" w:hAnsi="Arial" w:cs="Arial"/>
          <w:sz w:val="24"/>
          <w:szCs w:val="24"/>
        </w:rPr>
      </w:pPr>
    </w:p>
    <w:p w:rsidR="00613089" w:rsidRPr="003C7A5A" w:rsidRDefault="00613089" w:rsidP="007B7CDF">
      <w:pPr>
        <w:spacing w:after="0"/>
        <w:rPr>
          <w:rFonts w:ascii="Arial" w:hAnsi="Arial" w:cs="Arial"/>
          <w:sz w:val="24"/>
          <w:szCs w:val="24"/>
        </w:rPr>
      </w:pPr>
    </w:p>
    <w:p w:rsidR="007B7CDF" w:rsidRPr="003C7A5A" w:rsidRDefault="007B7CDF" w:rsidP="00C622DD">
      <w:pPr>
        <w:pStyle w:val="Default"/>
        <w:rPr>
          <w:rFonts w:eastAsia="Cambria"/>
          <w:color w:val="auto"/>
        </w:rPr>
      </w:pPr>
      <w:r w:rsidRPr="003C7A5A">
        <w:rPr>
          <w:b/>
          <w:color w:val="auto"/>
        </w:rPr>
        <w:lastRenderedPageBreak/>
        <w:t>Progress</w:t>
      </w:r>
      <w:r w:rsidRPr="003C7A5A">
        <w:rPr>
          <w:color w:val="auto"/>
        </w:rPr>
        <w:t xml:space="preserve"> - </w:t>
      </w:r>
      <w:r w:rsidRPr="00D70E86">
        <w:rPr>
          <w:color w:val="auto"/>
        </w:rPr>
        <w:t>t</w:t>
      </w:r>
      <w:r w:rsidRPr="00D70E86">
        <w:rPr>
          <w:rFonts w:eastAsia="Cambria"/>
          <w:color w:val="auto"/>
        </w:rPr>
        <w:t xml:space="preserve">he progress of students is the main focus of the new accountability system. This measure is a value added progress measure for </w:t>
      </w:r>
      <w:proofErr w:type="gramStart"/>
      <w:r w:rsidRPr="00D70E86">
        <w:rPr>
          <w:rFonts w:eastAsia="Cambria"/>
          <w:color w:val="auto"/>
        </w:rPr>
        <w:t>A</w:t>
      </w:r>
      <w:proofErr w:type="gramEnd"/>
      <w:r w:rsidRPr="00D70E86">
        <w:rPr>
          <w:rFonts w:eastAsia="Cambria"/>
          <w:color w:val="auto"/>
        </w:rPr>
        <w:t xml:space="preserve"> level, Academic and Applied General qualifications, and a combined completion and attainment measure for Tech Levels, Technical Certificates and Level 2 vocational qualifications.  Unfortunately, progress information is not available at local authority level.</w:t>
      </w:r>
    </w:p>
    <w:p w:rsidR="007B7CDF" w:rsidRPr="003C7A5A" w:rsidRDefault="007B7CDF" w:rsidP="00C622DD">
      <w:pPr>
        <w:spacing w:after="0" w:line="240" w:lineRule="auto"/>
        <w:rPr>
          <w:rFonts w:ascii="Arial" w:hAnsi="Arial" w:cs="Arial"/>
          <w:sz w:val="24"/>
          <w:szCs w:val="24"/>
        </w:rPr>
      </w:pPr>
    </w:p>
    <w:p w:rsidR="007B7CDF" w:rsidRPr="003C7A5A" w:rsidRDefault="007B7CDF" w:rsidP="00C622DD">
      <w:pPr>
        <w:pStyle w:val="Default"/>
        <w:rPr>
          <w:rFonts w:eastAsia="Cambria"/>
          <w:color w:val="auto"/>
        </w:rPr>
      </w:pPr>
      <w:r w:rsidRPr="003C7A5A">
        <w:rPr>
          <w:b/>
          <w:color w:val="auto"/>
        </w:rPr>
        <w:t xml:space="preserve">Attainment </w:t>
      </w:r>
      <w:r w:rsidRPr="003C7A5A">
        <w:rPr>
          <w:color w:val="auto"/>
        </w:rPr>
        <w:t>-</w:t>
      </w:r>
      <w:r w:rsidRPr="00D70E86">
        <w:rPr>
          <w:color w:val="auto"/>
        </w:rPr>
        <w:t xml:space="preserve"> </w:t>
      </w:r>
      <w:r w:rsidRPr="00D70E86">
        <w:rPr>
          <w:rFonts w:eastAsia="Cambria"/>
          <w:color w:val="auto"/>
        </w:rPr>
        <w:t xml:space="preserve">the attainment measure shows the average point score per entry, expressed as a grade and average points.  It builds on the existing attainment measures by showing separate grades for level 3 academic (including a separate grade for </w:t>
      </w:r>
      <w:proofErr w:type="gramStart"/>
      <w:r w:rsidRPr="00D70E86">
        <w:rPr>
          <w:rFonts w:eastAsia="Cambria"/>
          <w:color w:val="auto"/>
        </w:rPr>
        <w:t>A</w:t>
      </w:r>
      <w:proofErr w:type="gramEnd"/>
      <w:r w:rsidRPr="00D70E86">
        <w:rPr>
          <w:rFonts w:eastAsia="Cambria"/>
          <w:color w:val="auto"/>
        </w:rPr>
        <w:t xml:space="preserve"> level), Applied General, Tech Levels, Technical Certificates and Level 2 vocational qualifications.  </w:t>
      </w:r>
      <w:r w:rsidRPr="003C7A5A">
        <w:rPr>
          <w:rFonts w:eastAsia="Cambria"/>
          <w:color w:val="auto"/>
        </w:rPr>
        <w:t>A summary of the 201</w:t>
      </w:r>
      <w:r w:rsidR="0037154A">
        <w:rPr>
          <w:rFonts w:eastAsia="Cambria"/>
          <w:color w:val="auto"/>
        </w:rPr>
        <w:t>7/18</w:t>
      </w:r>
      <w:r w:rsidRPr="003C7A5A">
        <w:rPr>
          <w:rFonts w:eastAsia="Cambria"/>
          <w:color w:val="auto"/>
        </w:rPr>
        <w:t xml:space="preserve"> performance is shown in the table below:</w:t>
      </w:r>
    </w:p>
    <w:p w:rsidR="007B7CDF" w:rsidRPr="003C7A5A" w:rsidRDefault="007B7CDF" w:rsidP="007B7CDF">
      <w:pPr>
        <w:spacing w:after="0"/>
        <w:rPr>
          <w:rFonts w:ascii="Arial" w:hAnsi="Arial" w:cs="Arial"/>
          <w:sz w:val="24"/>
          <w:szCs w:val="24"/>
        </w:rPr>
      </w:pPr>
    </w:p>
    <w:tbl>
      <w:tblPr>
        <w:tblW w:w="0" w:type="auto"/>
        <w:tblLayout w:type="fixed"/>
        <w:tblLook w:val="04A0" w:firstRow="1" w:lastRow="0" w:firstColumn="1" w:lastColumn="0" w:noHBand="0" w:noVBand="1"/>
      </w:tblPr>
      <w:tblGrid>
        <w:gridCol w:w="2268"/>
        <w:gridCol w:w="1985"/>
        <w:gridCol w:w="1559"/>
        <w:gridCol w:w="1701"/>
        <w:gridCol w:w="1413"/>
      </w:tblGrid>
      <w:tr w:rsidR="008E2ACA" w:rsidRPr="008E2ACA" w:rsidTr="004C1F11">
        <w:tc>
          <w:tcPr>
            <w:tcW w:w="4253" w:type="dxa"/>
            <w:gridSpan w:val="2"/>
            <w:shd w:val="clear" w:color="auto" w:fill="00ACE9"/>
          </w:tcPr>
          <w:p w:rsidR="007B7CDF" w:rsidRPr="008E2ACA" w:rsidRDefault="007B7CDF" w:rsidP="005A49A9">
            <w:pPr>
              <w:spacing w:after="0"/>
              <w:jc w:val="center"/>
              <w:rPr>
                <w:rFonts w:ascii="Arial" w:hAnsi="Arial" w:cs="Arial"/>
                <w:color w:val="FFFFFF" w:themeColor="background1"/>
                <w:sz w:val="24"/>
                <w:szCs w:val="24"/>
              </w:rPr>
            </w:pPr>
          </w:p>
        </w:tc>
        <w:tc>
          <w:tcPr>
            <w:tcW w:w="1559"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Lancashire</w:t>
            </w:r>
          </w:p>
        </w:tc>
        <w:tc>
          <w:tcPr>
            <w:tcW w:w="1701"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State-funded Schools and Colleges</w:t>
            </w:r>
          </w:p>
        </w:tc>
        <w:tc>
          <w:tcPr>
            <w:tcW w:w="1413" w:type="dxa"/>
            <w:shd w:val="clear" w:color="auto" w:fill="00ACE9"/>
          </w:tcPr>
          <w:p w:rsidR="007B7CDF" w:rsidRPr="008E2ACA" w:rsidRDefault="007B7CDF" w:rsidP="005A49A9">
            <w:pPr>
              <w:spacing w:after="0"/>
              <w:jc w:val="center"/>
              <w:rPr>
                <w:rFonts w:ascii="Arial" w:hAnsi="Arial" w:cs="Arial"/>
                <w:b/>
                <w:color w:val="FFFFFF" w:themeColor="background1"/>
                <w:sz w:val="24"/>
                <w:szCs w:val="24"/>
              </w:rPr>
            </w:pPr>
            <w:r w:rsidRPr="008E2ACA">
              <w:rPr>
                <w:rFonts w:ascii="Arial" w:hAnsi="Arial" w:cs="Arial"/>
                <w:b/>
                <w:color w:val="FFFFFF" w:themeColor="background1"/>
                <w:sz w:val="24"/>
                <w:szCs w:val="24"/>
              </w:rPr>
              <w:t>England</w:t>
            </w:r>
          </w:p>
        </w:tc>
      </w:tr>
      <w:tr w:rsidR="007B7CDF" w:rsidRPr="006E2242" w:rsidTr="004C1F11">
        <w:tc>
          <w:tcPr>
            <w:tcW w:w="2268" w:type="dxa"/>
            <w:vMerge w:val="restart"/>
            <w:shd w:val="clear" w:color="auto" w:fill="575756"/>
          </w:tcPr>
          <w:p w:rsidR="007B7CDF" w:rsidRPr="004C1F11" w:rsidRDefault="007B7CDF" w:rsidP="005A49A9">
            <w:pPr>
              <w:spacing w:after="0"/>
              <w:rPr>
                <w:rFonts w:ascii="Arial" w:hAnsi="Arial" w:cs="Arial"/>
                <w:color w:val="FFFFFF" w:themeColor="background1"/>
                <w:sz w:val="24"/>
                <w:szCs w:val="24"/>
              </w:rPr>
            </w:pPr>
            <w:r w:rsidRPr="004C1F11">
              <w:rPr>
                <w:rFonts w:ascii="Arial" w:hAnsi="Arial" w:cs="Arial"/>
                <w:color w:val="FFFFFF" w:themeColor="background1"/>
                <w:sz w:val="24"/>
                <w:szCs w:val="24"/>
              </w:rPr>
              <w:t>A levels</w:t>
            </w:r>
          </w:p>
        </w:tc>
        <w:tc>
          <w:tcPr>
            <w:tcW w:w="1985" w:type="dxa"/>
            <w:shd w:val="clear" w:color="auto" w:fill="575756"/>
          </w:tcPr>
          <w:p w:rsidR="007B7CDF" w:rsidRPr="004C1F11" w:rsidRDefault="007B7CDF" w:rsidP="005A49A9">
            <w:pPr>
              <w:spacing w:after="0"/>
              <w:jc w:val="center"/>
              <w:rPr>
                <w:rFonts w:ascii="Arial" w:hAnsi="Arial" w:cs="Arial"/>
                <w:color w:val="FFFFFF" w:themeColor="background1"/>
                <w:sz w:val="24"/>
                <w:szCs w:val="24"/>
              </w:rPr>
            </w:pPr>
            <w:r w:rsidRPr="004C1F11">
              <w:rPr>
                <w:rFonts w:ascii="Arial" w:hAnsi="Arial" w:cs="Arial"/>
                <w:color w:val="FFFFFF" w:themeColor="background1"/>
                <w:sz w:val="24"/>
                <w:szCs w:val="24"/>
              </w:rPr>
              <w:t>Average Grade</w:t>
            </w:r>
          </w:p>
        </w:tc>
        <w:tc>
          <w:tcPr>
            <w:tcW w:w="1559" w:type="dxa"/>
            <w:shd w:val="clear" w:color="auto" w:fill="575756"/>
          </w:tcPr>
          <w:p w:rsidR="007B7CDF" w:rsidRPr="00F00BE6" w:rsidRDefault="00343ABB"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B-</w:t>
            </w:r>
          </w:p>
        </w:tc>
        <w:tc>
          <w:tcPr>
            <w:tcW w:w="1701" w:type="dxa"/>
            <w:shd w:val="clear" w:color="auto" w:fill="575756"/>
          </w:tcPr>
          <w:p w:rsidR="007B7CDF" w:rsidRPr="00F00BE6" w:rsidRDefault="00343ABB"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C+</w:t>
            </w:r>
          </w:p>
        </w:tc>
        <w:tc>
          <w:tcPr>
            <w:tcW w:w="1413" w:type="dxa"/>
            <w:shd w:val="clear" w:color="auto" w:fill="575756"/>
          </w:tcPr>
          <w:p w:rsidR="007B7CDF" w:rsidRPr="00F00BE6" w:rsidRDefault="00343ABB"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C+</w:t>
            </w:r>
          </w:p>
        </w:tc>
      </w:tr>
      <w:tr w:rsidR="007B7CDF" w:rsidRPr="006E2242" w:rsidTr="004C1F11">
        <w:tc>
          <w:tcPr>
            <w:tcW w:w="2268" w:type="dxa"/>
            <w:vMerge/>
            <w:shd w:val="clear" w:color="auto" w:fill="575756"/>
          </w:tcPr>
          <w:p w:rsidR="007B7CDF" w:rsidRPr="004C1F11" w:rsidRDefault="007B7CDF" w:rsidP="005A49A9">
            <w:pPr>
              <w:spacing w:after="0"/>
              <w:rPr>
                <w:rFonts w:ascii="Arial" w:hAnsi="Arial" w:cs="Arial"/>
                <w:color w:val="FFFFFF" w:themeColor="background1"/>
                <w:sz w:val="24"/>
                <w:szCs w:val="24"/>
              </w:rPr>
            </w:pPr>
          </w:p>
        </w:tc>
        <w:tc>
          <w:tcPr>
            <w:tcW w:w="1985" w:type="dxa"/>
            <w:shd w:val="clear" w:color="auto" w:fill="575756"/>
          </w:tcPr>
          <w:p w:rsidR="007B7CDF" w:rsidRPr="004C1F11" w:rsidRDefault="007B7CDF" w:rsidP="005A49A9">
            <w:pPr>
              <w:spacing w:after="0"/>
              <w:jc w:val="center"/>
              <w:rPr>
                <w:rFonts w:ascii="Arial" w:hAnsi="Arial" w:cs="Arial"/>
                <w:color w:val="FFFFFF" w:themeColor="background1"/>
                <w:sz w:val="24"/>
                <w:szCs w:val="24"/>
              </w:rPr>
            </w:pPr>
            <w:r w:rsidRPr="004C1F11">
              <w:rPr>
                <w:rFonts w:ascii="Arial" w:hAnsi="Arial" w:cs="Arial"/>
                <w:color w:val="FFFFFF" w:themeColor="background1"/>
                <w:sz w:val="24"/>
                <w:szCs w:val="24"/>
              </w:rPr>
              <w:t>APS*</w:t>
            </w:r>
          </w:p>
        </w:tc>
        <w:tc>
          <w:tcPr>
            <w:tcW w:w="1559" w:type="dxa"/>
            <w:shd w:val="clear" w:color="auto" w:fill="575756"/>
          </w:tcPr>
          <w:p w:rsidR="007B7CDF" w:rsidRPr="00F00BE6" w:rsidRDefault="00343ABB"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35.02</w:t>
            </w:r>
          </w:p>
        </w:tc>
        <w:tc>
          <w:tcPr>
            <w:tcW w:w="1701" w:type="dxa"/>
            <w:shd w:val="clear" w:color="auto" w:fill="575756"/>
          </w:tcPr>
          <w:p w:rsidR="007B7CDF" w:rsidRPr="00F00BE6" w:rsidRDefault="00343ABB"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32.12</w:t>
            </w:r>
          </w:p>
        </w:tc>
        <w:tc>
          <w:tcPr>
            <w:tcW w:w="1413" w:type="dxa"/>
            <w:shd w:val="clear" w:color="auto" w:fill="575756"/>
          </w:tcPr>
          <w:p w:rsidR="007B7CDF" w:rsidRPr="00F00BE6" w:rsidRDefault="00343ABB"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33.33</w:t>
            </w:r>
          </w:p>
        </w:tc>
      </w:tr>
      <w:tr w:rsidR="007B7CDF" w:rsidRPr="006E2242" w:rsidTr="004C1F11">
        <w:tc>
          <w:tcPr>
            <w:tcW w:w="2268" w:type="dxa"/>
            <w:shd w:val="clear" w:color="auto" w:fill="E0E0E0"/>
          </w:tcPr>
          <w:p w:rsidR="007B7CDF" w:rsidRPr="004C1F11" w:rsidRDefault="007B7CDF" w:rsidP="005A49A9">
            <w:pPr>
              <w:spacing w:after="0"/>
              <w:rPr>
                <w:rFonts w:ascii="Arial" w:hAnsi="Arial" w:cs="Arial"/>
                <w:sz w:val="24"/>
                <w:szCs w:val="24"/>
              </w:rPr>
            </w:pPr>
            <w:r w:rsidRPr="004C1F11">
              <w:rPr>
                <w:rFonts w:ascii="Arial" w:hAnsi="Arial" w:cs="Arial"/>
                <w:sz w:val="24"/>
                <w:szCs w:val="24"/>
              </w:rPr>
              <w:t>Academic Qualifications</w:t>
            </w:r>
          </w:p>
        </w:tc>
        <w:tc>
          <w:tcPr>
            <w:tcW w:w="1985" w:type="dxa"/>
            <w:shd w:val="clear" w:color="auto" w:fill="E0E0E0"/>
          </w:tcPr>
          <w:p w:rsidR="007B7CDF" w:rsidRPr="004C1F11" w:rsidRDefault="007B7CDF" w:rsidP="005A49A9">
            <w:pPr>
              <w:spacing w:after="0"/>
              <w:jc w:val="center"/>
              <w:rPr>
                <w:rFonts w:ascii="Arial" w:hAnsi="Arial" w:cs="Arial"/>
                <w:sz w:val="24"/>
                <w:szCs w:val="24"/>
              </w:rPr>
            </w:pPr>
            <w:r w:rsidRPr="004C1F11">
              <w:rPr>
                <w:rFonts w:ascii="Arial" w:hAnsi="Arial" w:cs="Arial"/>
                <w:sz w:val="24"/>
                <w:szCs w:val="24"/>
              </w:rPr>
              <w:t>Average Grade</w:t>
            </w:r>
          </w:p>
        </w:tc>
        <w:tc>
          <w:tcPr>
            <w:tcW w:w="1559" w:type="dxa"/>
            <w:shd w:val="clear" w:color="auto" w:fill="E0E0E0"/>
          </w:tcPr>
          <w:p w:rsidR="007B7CDF" w:rsidRPr="006E2242" w:rsidRDefault="0037154A" w:rsidP="005A49A9">
            <w:pPr>
              <w:spacing w:after="0"/>
              <w:jc w:val="center"/>
              <w:rPr>
                <w:rFonts w:ascii="Arial" w:hAnsi="Arial" w:cs="Arial"/>
                <w:sz w:val="24"/>
                <w:szCs w:val="24"/>
              </w:rPr>
            </w:pPr>
            <w:r>
              <w:rPr>
                <w:rFonts w:ascii="Arial" w:hAnsi="Arial" w:cs="Arial"/>
                <w:sz w:val="24"/>
                <w:szCs w:val="24"/>
              </w:rPr>
              <w:t>B-</w:t>
            </w:r>
          </w:p>
        </w:tc>
        <w:tc>
          <w:tcPr>
            <w:tcW w:w="1701" w:type="dxa"/>
            <w:shd w:val="clear" w:color="auto" w:fill="E0E0E0"/>
          </w:tcPr>
          <w:p w:rsidR="007B7CDF" w:rsidRPr="006E2242" w:rsidRDefault="0037154A" w:rsidP="005A49A9">
            <w:pPr>
              <w:spacing w:after="0"/>
              <w:jc w:val="center"/>
              <w:rPr>
                <w:rFonts w:ascii="Arial" w:hAnsi="Arial" w:cs="Arial"/>
                <w:sz w:val="24"/>
                <w:szCs w:val="24"/>
              </w:rPr>
            </w:pPr>
            <w:r>
              <w:rPr>
                <w:rFonts w:ascii="Arial" w:hAnsi="Arial" w:cs="Arial"/>
                <w:sz w:val="24"/>
                <w:szCs w:val="24"/>
              </w:rPr>
              <w:t>C+</w:t>
            </w:r>
          </w:p>
        </w:tc>
        <w:tc>
          <w:tcPr>
            <w:tcW w:w="1413" w:type="dxa"/>
            <w:shd w:val="clear" w:color="auto" w:fill="E0E0E0"/>
          </w:tcPr>
          <w:p w:rsidR="007B7CDF" w:rsidRPr="006E2242" w:rsidRDefault="0037154A" w:rsidP="005A49A9">
            <w:pPr>
              <w:spacing w:after="0"/>
              <w:jc w:val="center"/>
              <w:rPr>
                <w:rFonts w:ascii="Arial" w:hAnsi="Arial" w:cs="Arial"/>
                <w:sz w:val="24"/>
                <w:szCs w:val="24"/>
              </w:rPr>
            </w:pPr>
            <w:r>
              <w:rPr>
                <w:rFonts w:ascii="Arial" w:hAnsi="Arial" w:cs="Arial"/>
                <w:sz w:val="24"/>
                <w:szCs w:val="24"/>
              </w:rPr>
              <w:t>C+</w:t>
            </w:r>
          </w:p>
        </w:tc>
      </w:tr>
      <w:tr w:rsidR="007B7CDF" w:rsidRPr="006E2242" w:rsidTr="004C1F11">
        <w:tc>
          <w:tcPr>
            <w:tcW w:w="2268" w:type="dxa"/>
            <w:shd w:val="clear" w:color="auto" w:fill="E0E0E0"/>
          </w:tcPr>
          <w:p w:rsidR="007B7CDF" w:rsidRPr="004C1F11" w:rsidRDefault="007B7CDF" w:rsidP="005A49A9">
            <w:pPr>
              <w:spacing w:after="0"/>
              <w:rPr>
                <w:rFonts w:ascii="Arial" w:hAnsi="Arial" w:cs="Arial"/>
                <w:sz w:val="24"/>
                <w:szCs w:val="24"/>
              </w:rPr>
            </w:pPr>
          </w:p>
        </w:tc>
        <w:tc>
          <w:tcPr>
            <w:tcW w:w="1985" w:type="dxa"/>
            <w:shd w:val="clear" w:color="auto" w:fill="E0E0E0"/>
          </w:tcPr>
          <w:p w:rsidR="007B7CDF" w:rsidRPr="004C1F11" w:rsidRDefault="007B7CDF" w:rsidP="005A49A9">
            <w:pPr>
              <w:spacing w:after="0"/>
              <w:jc w:val="center"/>
              <w:rPr>
                <w:rFonts w:ascii="Arial" w:hAnsi="Arial" w:cs="Arial"/>
                <w:sz w:val="24"/>
                <w:szCs w:val="24"/>
              </w:rPr>
            </w:pPr>
            <w:r w:rsidRPr="004C1F11">
              <w:rPr>
                <w:rFonts w:ascii="Arial" w:hAnsi="Arial" w:cs="Arial"/>
                <w:sz w:val="24"/>
                <w:szCs w:val="24"/>
              </w:rPr>
              <w:t>APS*</w:t>
            </w:r>
          </w:p>
        </w:tc>
        <w:tc>
          <w:tcPr>
            <w:tcW w:w="1559" w:type="dxa"/>
            <w:shd w:val="clear" w:color="auto" w:fill="E0E0E0"/>
          </w:tcPr>
          <w:p w:rsidR="007B7CDF" w:rsidRPr="006E2242" w:rsidRDefault="0037154A" w:rsidP="005A49A9">
            <w:pPr>
              <w:spacing w:after="0"/>
              <w:jc w:val="center"/>
              <w:rPr>
                <w:rFonts w:ascii="Arial" w:hAnsi="Arial" w:cs="Arial"/>
                <w:sz w:val="24"/>
                <w:szCs w:val="24"/>
              </w:rPr>
            </w:pPr>
            <w:r>
              <w:rPr>
                <w:rFonts w:ascii="Arial" w:hAnsi="Arial" w:cs="Arial"/>
                <w:sz w:val="24"/>
                <w:szCs w:val="24"/>
              </w:rPr>
              <w:t>35.16</w:t>
            </w:r>
          </w:p>
        </w:tc>
        <w:tc>
          <w:tcPr>
            <w:tcW w:w="1701" w:type="dxa"/>
            <w:shd w:val="clear" w:color="auto" w:fill="E0E0E0"/>
          </w:tcPr>
          <w:p w:rsidR="007B7CDF" w:rsidRPr="006E2242" w:rsidRDefault="0037154A" w:rsidP="005A49A9">
            <w:pPr>
              <w:spacing w:after="0"/>
              <w:jc w:val="center"/>
              <w:rPr>
                <w:rFonts w:ascii="Arial" w:hAnsi="Arial" w:cs="Arial"/>
                <w:sz w:val="24"/>
                <w:szCs w:val="24"/>
              </w:rPr>
            </w:pPr>
            <w:r>
              <w:rPr>
                <w:rFonts w:ascii="Arial" w:hAnsi="Arial" w:cs="Arial"/>
                <w:sz w:val="24"/>
                <w:szCs w:val="24"/>
              </w:rPr>
              <w:t>32.29</w:t>
            </w:r>
          </w:p>
        </w:tc>
        <w:tc>
          <w:tcPr>
            <w:tcW w:w="1413" w:type="dxa"/>
            <w:shd w:val="clear" w:color="auto" w:fill="E0E0E0"/>
          </w:tcPr>
          <w:p w:rsidR="007B7CDF" w:rsidRPr="006E2242" w:rsidRDefault="0037154A" w:rsidP="005A49A9">
            <w:pPr>
              <w:spacing w:after="0"/>
              <w:jc w:val="center"/>
              <w:rPr>
                <w:rFonts w:ascii="Arial" w:hAnsi="Arial" w:cs="Arial"/>
                <w:sz w:val="24"/>
                <w:szCs w:val="24"/>
              </w:rPr>
            </w:pPr>
            <w:r>
              <w:rPr>
                <w:rFonts w:ascii="Arial" w:hAnsi="Arial" w:cs="Arial"/>
                <w:sz w:val="24"/>
                <w:szCs w:val="24"/>
              </w:rPr>
              <w:t>33.66</w:t>
            </w:r>
          </w:p>
        </w:tc>
      </w:tr>
      <w:tr w:rsidR="007B7CDF" w:rsidRPr="006E2242" w:rsidTr="004C1F11">
        <w:tc>
          <w:tcPr>
            <w:tcW w:w="2268" w:type="dxa"/>
            <w:vMerge w:val="restart"/>
            <w:shd w:val="clear" w:color="auto" w:fill="575756"/>
          </w:tcPr>
          <w:p w:rsidR="007B7CDF" w:rsidRPr="004C1F11" w:rsidRDefault="007B7CDF" w:rsidP="005A49A9">
            <w:pPr>
              <w:spacing w:after="0"/>
              <w:rPr>
                <w:rFonts w:ascii="Arial" w:hAnsi="Arial" w:cs="Arial"/>
                <w:color w:val="FFFFFF" w:themeColor="background1"/>
                <w:sz w:val="24"/>
                <w:szCs w:val="24"/>
              </w:rPr>
            </w:pPr>
            <w:r w:rsidRPr="004C1F11">
              <w:rPr>
                <w:rFonts w:ascii="Arial" w:hAnsi="Arial" w:cs="Arial"/>
                <w:color w:val="FFFFFF" w:themeColor="background1"/>
                <w:sz w:val="24"/>
                <w:szCs w:val="24"/>
              </w:rPr>
              <w:t>Applied General Qualifications</w:t>
            </w:r>
          </w:p>
        </w:tc>
        <w:tc>
          <w:tcPr>
            <w:tcW w:w="1985" w:type="dxa"/>
            <w:shd w:val="clear" w:color="auto" w:fill="575756"/>
          </w:tcPr>
          <w:p w:rsidR="007B7CDF" w:rsidRPr="004C1F11" w:rsidRDefault="007B7CDF" w:rsidP="005A49A9">
            <w:pPr>
              <w:spacing w:after="0"/>
              <w:jc w:val="center"/>
              <w:rPr>
                <w:rFonts w:ascii="Arial" w:hAnsi="Arial" w:cs="Arial"/>
                <w:color w:val="FFFFFF" w:themeColor="background1"/>
                <w:sz w:val="24"/>
                <w:szCs w:val="24"/>
              </w:rPr>
            </w:pPr>
            <w:r w:rsidRPr="004C1F11">
              <w:rPr>
                <w:rFonts w:ascii="Arial" w:hAnsi="Arial" w:cs="Arial"/>
                <w:color w:val="FFFFFF" w:themeColor="background1"/>
                <w:sz w:val="24"/>
                <w:szCs w:val="24"/>
              </w:rPr>
              <w:t>Average Grade</w:t>
            </w:r>
          </w:p>
        </w:tc>
        <w:tc>
          <w:tcPr>
            <w:tcW w:w="1559" w:type="dxa"/>
            <w:shd w:val="clear" w:color="auto" w:fill="575756"/>
          </w:tcPr>
          <w:p w:rsidR="007B7CDF" w:rsidRPr="00F00BE6" w:rsidRDefault="0037154A"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Merit</w:t>
            </w:r>
          </w:p>
        </w:tc>
        <w:tc>
          <w:tcPr>
            <w:tcW w:w="1701" w:type="dxa"/>
            <w:shd w:val="clear" w:color="auto" w:fill="575756"/>
          </w:tcPr>
          <w:p w:rsidR="007B7CDF" w:rsidRPr="00F00BE6" w:rsidRDefault="0037154A"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Merit+</w:t>
            </w:r>
          </w:p>
        </w:tc>
        <w:tc>
          <w:tcPr>
            <w:tcW w:w="1413" w:type="dxa"/>
            <w:shd w:val="clear" w:color="auto" w:fill="575756"/>
          </w:tcPr>
          <w:p w:rsidR="007B7CDF" w:rsidRPr="00F00BE6" w:rsidRDefault="0037154A"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Merit+</w:t>
            </w:r>
          </w:p>
        </w:tc>
      </w:tr>
      <w:tr w:rsidR="007B7CDF" w:rsidRPr="006E2242" w:rsidTr="004C1F11">
        <w:tc>
          <w:tcPr>
            <w:tcW w:w="2268" w:type="dxa"/>
            <w:vMerge/>
            <w:shd w:val="clear" w:color="auto" w:fill="575756"/>
          </w:tcPr>
          <w:p w:rsidR="007B7CDF" w:rsidRPr="004C1F11" w:rsidRDefault="007B7CDF" w:rsidP="005A49A9">
            <w:pPr>
              <w:spacing w:after="0"/>
              <w:rPr>
                <w:rFonts w:ascii="Arial" w:hAnsi="Arial" w:cs="Arial"/>
                <w:color w:val="FFFFFF" w:themeColor="background1"/>
                <w:sz w:val="24"/>
                <w:szCs w:val="24"/>
              </w:rPr>
            </w:pPr>
          </w:p>
        </w:tc>
        <w:tc>
          <w:tcPr>
            <w:tcW w:w="1985" w:type="dxa"/>
            <w:shd w:val="clear" w:color="auto" w:fill="575756"/>
          </w:tcPr>
          <w:p w:rsidR="007B7CDF" w:rsidRPr="004C1F11" w:rsidRDefault="007B7CDF" w:rsidP="005A49A9">
            <w:pPr>
              <w:spacing w:after="0"/>
              <w:jc w:val="center"/>
              <w:rPr>
                <w:rFonts w:ascii="Arial" w:hAnsi="Arial" w:cs="Arial"/>
                <w:color w:val="FFFFFF" w:themeColor="background1"/>
                <w:sz w:val="24"/>
                <w:szCs w:val="24"/>
              </w:rPr>
            </w:pPr>
            <w:r w:rsidRPr="004C1F11">
              <w:rPr>
                <w:rFonts w:ascii="Arial" w:hAnsi="Arial" w:cs="Arial"/>
                <w:color w:val="FFFFFF" w:themeColor="background1"/>
                <w:sz w:val="24"/>
                <w:szCs w:val="24"/>
              </w:rPr>
              <w:t>APS*</w:t>
            </w:r>
          </w:p>
        </w:tc>
        <w:tc>
          <w:tcPr>
            <w:tcW w:w="1559" w:type="dxa"/>
            <w:shd w:val="clear" w:color="auto" w:fill="575756"/>
          </w:tcPr>
          <w:p w:rsidR="007B7CDF" w:rsidRPr="00F00BE6" w:rsidRDefault="0037154A"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26.50</w:t>
            </w:r>
          </w:p>
        </w:tc>
        <w:tc>
          <w:tcPr>
            <w:tcW w:w="1701" w:type="dxa"/>
            <w:shd w:val="clear" w:color="auto" w:fill="575756"/>
          </w:tcPr>
          <w:p w:rsidR="007B7CDF" w:rsidRPr="00F00BE6" w:rsidRDefault="0037154A"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28.43</w:t>
            </w:r>
          </w:p>
        </w:tc>
        <w:tc>
          <w:tcPr>
            <w:tcW w:w="1413" w:type="dxa"/>
            <w:shd w:val="clear" w:color="auto" w:fill="575756"/>
          </w:tcPr>
          <w:p w:rsidR="007B7CDF" w:rsidRPr="00F00BE6" w:rsidRDefault="0037154A" w:rsidP="005A49A9">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28.45</w:t>
            </w:r>
          </w:p>
        </w:tc>
      </w:tr>
      <w:tr w:rsidR="0037154A" w:rsidRPr="006E2242" w:rsidTr="004C1F11">
        <w:tc>
          <w:tcPr>
            <w:tcW w:w="2268" w:type="dxa"/>
            <w:shd w:val="clear" w:color="auto" w:fill="E0E0E0"/>
          </w:tcPr>
          <w:p w:rsidR="0037154A" w:rsidRPr="004C1F11" w:rsidRDefault="0037154A" w:rsidP="0037154A">
            <w:pPr>
              <w:spacing w:after="0"/>
              <w:rPr>
                <w:rFonts w:ascii="Arial" w:hAnsi="Arial" w:cs="Arial"/>
                <w:sz w:val="24"/>
                <w:szCs w:val="24"/>
              </w:rPr>
            </w:pPr>
            <w:r w:rsidRPr="004C1F11">
              <w:rPr>
                <w:rFonts w:ascii="Arial" w:hAnsi="Arial" w:cs="Arial"/>
                <w:sz w:val="24"/>
                <w:szCs w:val="24"/>
              </w:rPr>
              <w:t>Tech Levels</w:t>
            </w:r>
          </w:p>
        </w:tc>
        <w:tc>
          <w:tcPr>
            <w:tcW w:w="1985" w:type="dxa"/>
            <w:shd w:val="clear" w:color="auto" w:fill="E0E0E0"/>
          </w:tcPr>
          <w:p w:rsidR="0037154A" w:rsidRPr="004C1F11" w:rsidRDefault="0037154A" w:rsidP="0037154A">
            <w:pPr>
              <w:spacing w:after="0"/>
              <w:jc w:val="center"/>
              <w:rPr>
                <w:rFonts w:ascii="Arial" w:hAnsi="Arial" w:cs="Arial"/>
                <w:sz w:val="24"/>
                <w:szCs w:val="24"/>
              </w:rPr>
            </w:pPr>
            <w:r w:rsidRPr="004C1F11">
              <w:rPr>
                <w:rFonts w:ascii="Arial" w:hAnsi="Arial" w:cs="Arial"/>
                <w:sz w:val="24"/>
                <w:szCs w:val="24"/>
              </w:rPr>
              <w:t>Average Grade</w:t>
            </w:r>
          </w:p>
        </w:tc>
        <w:tc>
          <w:tcPr>
            <w:tcW w:w="1559" w:type="dxa"/>
            <w:shd w:val="clear" w:color="auto" w:fill="E0E0E0"/>
          </w:tcPr>
          <w:p w:rsidR="0037154A" w:rsidRPr="0037154A" w:rsidRDefault="0037154A" w:rsidP="0037154A">
            <w:pPr>
              <w:spacing w:after="0"/>
              <w:jc w:val="center"/>
              <w:rPr>
                <w:rFonts w:ascii="Arial" w:hAnsi="Arial" w:cs="Arial"/>
                <w:sz w:val="24"/>
                <w:szCs w:val="24"/>
              </w:rPr>
            </w:pPr>
            <w:r w:rsidRPr="0037154A">
              <w:rPr>
                <w:rFonts w:ascii="Arial" w:hAnsi="Arial" w:cs="Arial"/>
                <w:sz w:val="24"/>
                <w:szCs w:val="24"/>
              </w:rPr>
              <w:t>Merit</w:t>
            </w:r>
          </w:p>
        </w:tc>
        <w:tc>
          <w:tcPr>
            <w:tcW w:w="1701" w:type="dxa"/>
            <w:shd w:val="clear" w:color="auto" w:fill="E0E0E0"/>
          </w:tcPr>
          <w:p w:rsidR="0037154A" w:rsidRPr="0037154A" w:rsidRDefault="0037154A" w:rsidP="0037154A">
            <w:pPr>
              <w:spacing w:after="0"/>
              <w:jc w:val="center"/>
              <w:rPr>
                <w:rFonts w:ascii="Arial" w:hAnsi="Arial" w:cs="Arial"/>
                <w:sz w:val="24"/>
                <w:szCs w:val="24"/>
              </w:rPr>
            </w:pPr>
            <w:r w:rsidRPr="0037154A">
              <w:rPr>
                <w:rFonts w:ascii="Arial" w:hAnsi="Arial" w:cs="Arial"/>
                <w:sz w:val="24"/>
                <w:szCs w:val="24"/>
              </w:rPr>
              <w:t>Merit+</w:t>
            </w:r>
          </w:p>
        </w:tc>
        <w:tc>
          <w:tcPr>
            <w:tcW w:w="1413" w:type="dxa"/>
            <w:shd w:val="clear" w:color="auto" w:fill="E0E0E0"/>
          </w:tcPr>
          <w:p w:rsidR="0037154A" w:rsidRPr="0037154A" w:rsidRDefault="0037154A" w:rsidP="0037154A">
            <w:pPr>
              <w:spacing w:after="0"/>
              <w:jc w:val="center"/>
              <w:rPr>
                <w:rFonts w:ascii="Arial" w:hAnsi="Arial" w:cs="Arial"/>
                <w:sz w:val="24"/>
                <w:szCs w:val="24"/>
              </w:rPr>
            </w:pPr>
            <w:r w:rsidRPr="0037154A">
              <w:rPr>
                <w:rFonts w:ascii="Arial" w:hAnsi="Arial" w:cs="Arial"/>
                <w:sz w:val="24"/>
                <w:szCs w:val="24"/>
              </w:rPr>
              <w:t>Merit+</w:t>
            </w:r>
          </w:p>
        </w:tc>
      </w:tr>
      <w:tr w:rsidR="0037154A" w:rsidRPr="006E2242" w:rsidTr="004C1F11">
        <w:tc>
          <w:tcPr>
            <w:tcW w:w="2268" w:type="dxa"/>
            <w:shd w:val="clear" w:color="auto" w:fill="E0E0E0"/>
          </w:tcPr>
          <w:p w:rsidR="0037154A" w:rsidRPr="004C1F11" w:rsidRDefault="0037154A" w:rsidP="0037154A">
            <w:pPr>
              <w:spacing w:after="0"/>
              <w:rPr>
                <w:rFonts w:ascii="Arial" w:hAnsi="Arial" w:cs="Arial"/>
                <w:sz w:val="24"/>
                <w:szCs w:val="24"/>
              </w:rPr>
            </w:pPr>
          </w:p>
        </w:tc>
        <w:tc>
          <w:tcPr>
            <w:tcW w:w="1985" w:type="dxa"/>
            <w:shd w:val="clear" w:color="auto" w:fill="E0E0E0"/>
          </w:tcPr>
          <w:p w:rsidR="0037154A" w:rsidRPr="004C1F11" w:rsidRDefault="0037154A" w:rsidP="0037154A">
            <w:pPr>
              <w:spacing w:after="0"/>
              <w:jc w:val="center"/>
              <w:rPr>
                <w:rFonts w:ascii="Arial" w:hAnsi="Arial" w:cs="Arial"/>
                <w:sz w:val="24"/>
                <w:szCs w:val="24"/>
              </w:rPr>
            </w:pPr>
            <w:r w:rsidRPr="004C1F11">
              <w:rPr>
                <w:rFonts w:ascii="Arial" w:hAnsi="Arial" w:cs="Arial"/>
                <w:sz w:val="24"/>
                <w:szCs w:val="24"/>
              </w:rPr>
              <w:t>APS*</w:t>
            </w:r>
          </w:p>
        </w:tc>
        <w:tc>
          <w:tcPr>
            <w:tcW w:w="1559" w:type="dxa"/>
            <w:shd w:val="clear" w:color="auto" w:fill="E0E0E0"/>
          </w:tcPr>
          <w:p w:rsidR="0037154A" w:rsidRPr="006E2242" w:rsidRDefault="0037154A" w:rsidP="0037154A">
            <w:pPr>
              <w:spacing w:after="0"/>
              <w:jc w:val="center"/>
              <w:rPr>
                <w:rFonts w:ascii="Arial" w:hAnsi="Arial" w:cs="Arial"/>
                <w:sz w:val="24"/>
                <w:szCs w:val="24"/>
              </w:rPr>
            </w:pPr>
            <w:r>
              <w:rPr>
                <w:rFonts w:ascii="Arial" w:hAnsi="Arial" w:cs="Arial"/>
                <w:sz w:val="24"/>
                <w:szCs w:val="24"/>
              </w:rPr>
              <w:t>25.96</w:t>
            </w:r>
          </w:p>
        </w:tc>
        <w:tc>
          <w:tcPr>
            <w:tcW w:w="1701" w:type="dxa"/>
            <w:shd w:val="clear" w:color="auto" w:fill="E0E0E0"/>
          </w:tcPr>
          <w:p w:rsidR="0037154A" w:rsidRPr="006E2242" w:rsidRDefault="0037154A" w:rsidP="0037154A">
            <w:pPr>
              <w:spacing w:after="0"/>
              <w:jc w:val="center"/>
              <w:rPr>
                <w:rFonts w:ascii="Arial" w:hAnsi="Arial" w:cs="Arial"/>
                <w:sz w:val="24"/>
                <w:szCs w:val="24"/>
              </w:rPr>
            </w:pPr>
            <w:r>
              <w:rPr>
                <w:rFonts w:ascii="Arial" w:hAnsi="Arial" w:cs="Arial"/>
                <w:sz w:val="24"/>
                <w:szCs w:val="24"/>
              </w:rPr>
              <w:t>28.11</w:t>
            </w:r>
          </w:p>
        </w:tc>
        <w:tc>
          <w:tcPr>
            <w:tcW w:w="1413" w:type="dxa"/>
            <w:shd w:val="clear" w:color="auto" w:fill="E0E0E0"/>
          </w:tcPr>
          <w:p w:rsidR="0037154A" w:rsidRPr="006E2242" w:rsidRDefault="0037154A" w:rsidP="0037154A">
            <w:pPr>
              <w:spacing w:after="0"/>
              <w:jc w:val="center"/>
              <w:rPr>
                <w:rFonts w:ascii="Arial" w:hAnsi="Arial" w:cs="Arial"/>
                <w:sz w:val="24"/>
                <w:szCs w:val="24"/>
              </w:rPr>
            </w:pPr>
            <w:r>
              <w:rPr>
                <w:rFonts w:ascii="Arial" w:hAnsi="Arial" w:cs="Arial"/>
                <w:sz w:val="24"/>
                <w:szCs w:val="24"/>
              </w:rPr>
              <w:t>28.10</w:t>
            </w:r>
          </w:p>
        </w:tc>
      </w:tr>
      <w:tr w:rsidR="0037154A" w:rsidRPr="006E2242" w:rsidTr="004C1F11">
        <w:tc>
          <w:tcPr>
            <w:tcW w:w="2268" w:type="dxa"/>
            <w:vMerge w:val="restart"/>
            <w:shd w:val="clear" w:color="auto" w:fill="575756"/>
          </w:tcPr>
          <w:p w:rsidR="0037154A" w:rsidRPr="004C1F11" w:rsidRDefault="0037154A" w:rsidP="0037154A">
            <w:pPr>
              <w:spacing w:after="0"/>
              <w:rPr>
                <w:rFonts w:ascii="Arial" w:hAnsi="Arial" w:cs="Arial"/>
                <w:color w:val="FFFFFF" w:themeColor="background1"/>
                <w:sz w:val="24"/>
                <w:szCs w:val="24"/>
              </w:rPr>
            </w:pPr>
            <w:r w:rsidRPr="004C1F11">
              <w:rPr>
                <w:rFonts w:ascii="Arial" w:hAnsi="Arial" w:cs="Arial"/>
                <w:color w:val="FFFFFF" w:themeColor="background1"/>
                <w:sz w:val="24"/>
                <w:szCs w:val="24"/>
              </w:rPr>
              <w:t>Technical Certificates</w:t>
            </w:r>
          </w:p>
        </w:tc>
        <w:tc>
          <w:tcPr>
            <w:tcW w:w="1985" w:type="dxa"/>
            <w:shd w:val="clear" w:color="auto" w:fill="575756"/>
          </w:tcPr>
          <w:p w:rsidR="0037154A" w:rsidRPr="004C1F11" w:rsidRDefault="0037154A" w:rsidP="0037154A">
            <w:pPr>
              <w:spacing w:after="0"/>
              <w:jc w:val="center"/>
              <w:rPr>
                <w:rFonts w:ascii="Arial" w:hAnsi="Arial" w:cs="Arial"/>
                <w:color w:val="FFFFFF" w:themeColor="background1"/>
                <w:sz w:val="24"/>
                <w:szCs w:val="24"/>
              </w:rPr>
            </w:pPr>
            <w:r w:rsidRPr="004C1F11">
              <w:rPr>
                <w:rFonts w:ascii="Arial" w:hAnsi="Arial" w:cs="Arial"/>
                <w:color w:val="FFFFFF" w:themeColor="background1"/>
                <w:sz w:val="24"/>
                <w:szCs w:val="24"/>
              </w:rPr>
              <w:t>Average Grade</w:t>
            </w:r>
          </w:p>
        </w:tc>
        <w:tc>
          <w:tcPr>
            <w:tcW w:w="1559" w:type="dxa"/>
            <w:shd w:val="clear" w:color="auto" w:fill="575756"/>
          </w:tcPr>
          <w:p w:rsidR="0037154A" w:rsidRPr="00F00BE6" w:rsidRDefault="0037154A" w:rsidP="0037154A">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L2Merit-</w:t>
            </w:r>
          </w:p>
        </w:tc>
        <w:tc>
          <w:tcPr>
            <w:tcW w:w="1701" w:type="dxa"/>
            <w:shd w:val="clear" w:color="auto" w:fill="575756"/>
          </w:tcPr>
          <w:p w:rsidR="0037154A" w:rsidRPr="00F00BE6" w:rsidRDefault="0037154A" w:rsidP="0037154A">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L2Merit-</w:t>
            </w:r>
          </w:p>
        </w:tc>
        <w:tc>
          <w:tcPr>
            <w:tcW w:w="1413" w:type="dxa"/>
            <w:shd w:val="clear" w:color="auto" w:fill="575756"/>
          </w:tcPr>
          <w:p w:rsidR="0037154A" w:rsidRPr="00F00BE6" w:rsidRDefault="0037154A" w:rsidP="0037154A">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L2Merit-</w:t>
            </w:r>
          </w:p>
        </w:tc>
      </w:tr>
      <w:tr w:rsidR="0037154A" w:rsidRPr="006E2242" w:rsidTr="004C1F11">
        <w:tc>
          <w:tcPr>
            <w:tcW w:w="2268" w:type="dxa"/>
            <w:vMerge/>
            <w:shd w:val="clear" w:color="auto" w:fill="575756"/>
          </w:tcPr>
          <w:p w:rsidR="0037154A" w:rsidRPr="004C1F11" w:rsidRDefault="0037154A" w:rsidP="0037154A">
            <w:pPr>
              <w:spacing w:after="0"/>
              <w:rPr>
                <w:rFonts w:ascii="Arial" w:hAnsi="Arial" w:cs="Arial"/>
                <w:color w:val="FFFFFF" w:themeColor="background1"/>
                <w:sz w:val="24"/>
                <w:szCs w:val="24"/>
              </w:rPr>
            </w:pPr>
          </w:p>
        </w:tc>
        <w:tc>
          <w:tcPr>
            <w:tcW w:w="1985" w:type="dxa"/>
            <w:shd w:val="clear" w:color="auto" w:fill="575756"/>
          </w:tcPr>
          <w:p w:rsidR="0037154A" w:rsidRPr="004C1F11" w:rsidRDefault="0037154A" w:rsidP="0037154A">
            <w:pPr>
              <w:spacing w:after="0"/>
              <w:jc w:val="center"/>
              <w:rPr>
                <w:rFonts w:ascii="Arial" w:hAnsi="Arial" w:cs="Arial"/>
                <w:color w:val="FFFFFF" w:themeColor="background1"/>
                <w:sz w:val="24"/>
                <w:szCs w:val="24"/>
              </w:rPr>
            </w:pPr>
            <w:r w:rsidRPr="004C1F11">
              <w:rPr>
                <w:rFonts w:ascii="Arial" w:hAnsi="Arial" w:cs="Arial"/>
                <w:color w:val="FFFFFF" w:themeColor="background1"/>
                <w:sz w:val="24"/>
                <w:szCs w:val="24"/>
              </w:rPr>
              <w:t>APS*</w:t>
            </w:r>
          </w:p>
        </w:tc>
        <w:tc>
          <w:tcPr>
            <w:tcW w:w="1559" w:type="dxa"/>
            <w:shd w:val="clear" w:color="auto" w:fill="575756"/>
          </w:tcPr>
          <w:p w:rsidR="0037154A" w:rsidRPr="00F00BE6" w:rsidRDefault="0037154A" w:rsidP="0037154A">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5.80</w:t>
            </w:r>
          </w:p>
        </w:tc>
        <w:tc>
          <w:tcPr>
            <w:tcW w:w="1701" w:type="dxa"/>
            <w:shd w:val="clear" w:color="auto" w:fill="575756"/>
          </w:tcPr>
          <w:p w:rsidR="0037154A" w:rsidRPr="00F00BE6" w:rsidRDefault="0037154A" w:rsidP="0037154A">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5.77</w:t>
            </w:r>
          </w:p>
        </w:tc>
        <w:tc>
          <w:tcPr>
            <w:tcW w:w="1413" w:type="dxa"/>
            <w:shd w:val="clear" w:color="auto" w:fill="575756"/>
          </w:tcPr>
          <w:p w:rsidR="0037154A" w:rsidRPr="00F00BE6" w:rsidRDefault="0037154A" w:rsidP="0037154A">
            <w:pPr>
              <w:spacing w:after="0"/>
              <w:jc w:val="center"/>
              <w:rPr>
                <w:rFonts w:ascii="Arial" w:hAnsi="Arial" w:cs="Arial"/>
                <w:color w:val="FFFFFF" w:themeColor="background1"/>
                <w:sz w:val="24"/>
                <w:szCs w:val="24"/>
              </w:rPr>
            </w:pPr>
            <w:r>
              <w:rPr>
                <w:rFonts w:ascii="Arial" w:hAnsi="Arial" w:cs="Arial"/>
                <w:color w:val="FFFFFF" w:themeColor="background1"/>
                <w:sz w:val="24"/>
                <w:szCs w:val="24"/>
              </w:rPr>
              <w:t>5.77</w:t>
            </w:r>
          </w:p>
        </w:tc>
      </w:tr>
      <w:tr w:rsidR="0037154A" w:rsidRPr="006E2242" w:rsidTr="004C1F11">
        <w:tc>
          <w:tcPr>
            <w:tcW w:w="2268" w:type="dxa"/>
            <w:shd w:val="clear" w:color="auto" w:fill="E0E0E0"/>
          </w:tcPr>
          <w:p w:rsidR="0037154A" w:rsidRPr="004C1F11" w:rsidRDefault="0037154A" w:rsidP="0037154A">
            <w:pPr>
              <w:spacing w:after="0"/>
              <w:rPr>
                <w:rFonts w:ascii="Arial" w:hAnsi="Arial" w:cs="Arial"/>
                <w:sz w:val="24"/>
                <w:szCs w:val="24"/>
              </w:rPr>
            </w:pPr>
            <w:r w:rsidRPr="004C1F11">
              <w:rPr>
                <w:rFonts w:ascii="Arial" w:hAnsi="Arial" w:cs="Arial"/>
                <w:sz w:val="24"/>
                <w:szCs w:val="24"/>
              </w:rPr>
              <w:t>Level 2 Vocational Qualifications</w:t>
            </w:r>
          </w:p>
        </w:tc>
        <w:tc>
          <w:tcPr>
            <w:tcW w:w="1985" w:type="dxa"/>
            <w:shd w:val="clear" w:color="auto" w:fill="E0E0E0"/>
          </w:tcPr>
          <w:p w:rsidR="0037154A" w:rsidRPr="004C1F11" w:rsidRDefault="0037154A" w:rsidP="0037154A">
            <w:pPr>
              <w:spacing w:after="0"/>
              <w:jc w:val="center"/>
              <w:rPr>
                <w:rFonts w:ascii="Arial" w:hAnsi="Arial" w:cs="Arial"/>
                <w:sz w:val="24"/>
                <w:szCs w:val="24"/>
              </w:rPr>
            </w:pPr>
            <w:r w:rsidRPr="004C1F11">
              <w:rPr>
                <w:rFonts w:ascii="Arial" w:hAnsi="Arial" w:cs="Arial"/>
                <w:sz w:val="24"/>
                <w:szCs w:val="24"/>
              </w:rPr>
              <w:t>Average Grade</w:t>
            </w:r>
          </w:p>
        </w:tc>
        <w:tc>
          <w:tcPr>
            <w:tcW w:w="1559" w:type="dxa"/>
            <w:shd w:val="clear" w:color="auto" w:fill="E0E0E0"/>
          </w:tcPr>
          <w:p w:rsidR="0037154A" w:rsidRPr="0037154A" w:rsidRDefault="0037154A" w:rsidP="0037154A">
            <w:pPr>
              <w:spacing w:after="0"/>
              <w:jc w:val="center"/>
              <w:rPr>
                <w:rFonts w:ascii="Arial" w:hAnsi="Arial" w:cs="Arial"/>
                <w:sz w:val="24"/>
                <w:szCs w:val="24"/>
              </w:rPr>
            </w:pPr>
            <w:r w:rsidRPr="0037154A">
              <w:rPr>
                <w:rFonts w:ascii="Arial" w:hAnsi="Arial" w:cs="Arial"/>
                <w:sz w:val="24"/>
                <w:szCs w:val="24"/>
              </w:rPr>
              <w:t>L2Merit-</w:t>
            </w:r>
          </w:p>
        </w:tc>
        <w:tc>
          <w:tcPr>
            <w:tcW w:w="1701" w:type="dxa"/>
            <w:shd w:val="clear" w:color="auto" w:fill="E0E0E0"/>
          </w:tcPr>
          <w:p w:rsidR="0037154A" w:rsidRPr="0037154A" w:rsidRDefault="0037154A" w:rsidP="0037154A">
            <w:pPr>
              <w:spacing w:after="0"/>
              <w:jc w:val="center"/>
              <w:rPr>
                <w:rFonts w:ascii="Arial" w:hAnsi="Arial" w:cs="Arial"/>
                <w:sz w:val="24"/>
                <w:szCs w:val="24"/>
              </w:rPr>
            </w:pPr>
            <w:r w:rsidRPr="0037154A">
              <w:rPr>
                <w:rFonts w:ascii="Arial" w:hAnsi="Arial" w:cs="Arial"/>
                <w:sz w:val="24"/>
                <w:szCs w:val="24"/>
              </w:rPr>
              <w:t>L2Merit-</w:t>
            </w:r>
          </w:p>
        </w:tc>
        <w:tc>
          <w:tcPr>
            <w:tcW w:w="1413" w:type="dxa"/>
            <w:shd w:val="clear" w:color="auto" w:fill="E0E0E0"/>
          </w:tcPr>
          <w:p w:rsidR="0037154A" w:rsidRPr="0037154A" w:rsidRDefault="0037154A" w:rsidP="0037154A">
            <w:pPr>
              <w:spacing w:after="0"/>
              <w:jc w:val="center"/>
              <w:rPr>
                <w:rFonts w:ascii="Arial" w:hAnsi="Arial" w:cs="Arial"/>
                <w:sz w:val="24"/>
                <w:szCs w:val="24"/>
              </w:rPr>
            </w:pPr>
            <w:r w:rsidRPr="0037154A">
              <w:rPr>
                <w:rFonts w:ascii="Arial" w:hAnsi="Arial" w:cs="Arial"/>
                <w:sz w:val="24"/>
                <w:szCs w:val="24"/>
              </w:rPr>
              <w:t>L2Merit-</w:t>
            </w:r>
          </w:p>
        </w:tc>
      </w:tr>
      <w:tr w:rsidR="0037154A" w:rsidRPr="006E2242" w:rsidTr="004C1F11">
        <w:tc>
          <w:tcPr>
            <w:tcW w:w="2268" w:type="dxa"/>
            <w:shd w:val="clear" w:color="auto" w:fill="E0E0E0"/>
          </w:tcPr>
          <w:p w:rsidR="0037154A" w:rsidRPr="004C1F11" w:rsidRDefault="0037154A" w:rsidP="0037154A">
            <w:pPr>
              <w:spacing w:after="0"/>
              <w:rPr>
                <w:rFonts w:ascii="Arial" w:hAnsi="Arial" w:cs="Arial"/>
                <w:sz w:val="24"/>
                <w:szCs w:val="24"/>
              </w:rPr>
            </w:pPr>
          </w:p>
        </w:tc>
        <w:tc>
          <w:tcPr>
            <w:tcW w:w="1985" w:type="dxa"/>
            <w:shd w:val="clear" w:color="auto" w:fill="E0E0E0"/>
          </w:tcPr>
          <w:p w:rsidR="0037154A" w:rsidRPr="004C1F11" w:rsidRDefault="0037154A" w:rsidP="0037154A">
            <w:pPr>
              <w:spacing w:after="0"/>
              <w:jc w:val="center"/>
              <w:rPr>
                <w:rFonts w:ascii="Arial" w:hAnsi="Arial" w:cs="Arial"/>
                <w:sz w:val="24"/>
                <w:szCs w:val="24"/>
              </w:rPr>
            </w:pPr>
            <w:r w:rsidRPr="004C1F11">
              <w:rPr>
                <w:rFonts w:ascii="Arial" w:hAnsi="Arial" w:cs="Arial"/>
                <w:sz w:val="24"/>
                <w:szCs w:val="24"/>
              </w:rPr>
              <w:t>APS*</w:t>
            </w:r>
          </w:p>
        </w:tc>
        <w:tc>
          <w:tcPr>
            <w:tcW w:w="1559" w:type="dxa"/>
            <w:shd w:val="clear" w:color="auto" w:fill="E0E0E0"/>
          </w:tcPr>
          <w:p w:rsidR="0037154A" w:rsidRPr="006E2242" w:rsidRDefault="0037154A" w:rsidP="0037154A">
            <w:pPr>
              <w:spacing w:after="0"/>
              <w:jc w:val="center"/>
              <w:rPr>
                <w:rFonts w:ascii="Arial" w:hAnsi="Arial" w:cs="Arial"/>
                <w:sz w:val="24"/>
                <w:szCs w:val="24"/>
              </w:rPr>
            </w:pPr>
            <w:r>
              <w:rPr>
                <w:rFonts w:ascii="Arial" w:hAnsi="Arial" w:cs="Arial"/>
                <w:sz w:val="24"/>
                <w:szCs w:val="24"/>
              </w:rPr>
              <w:t>5.76</w:t>
            </w:r>
          </w:p>
        </w:tc>
        <w:tc>
          <w:tcPr>
            <w:tcW w:w="1701" w:type="dxa"/>
            <w:shd w:val="clear" w:color="auto" w:fill="E0E0E0"/>
          </w:tcPr>
          <w:p w:rsidR="0037154A" w:rsidRPr="006E2242" w:rsidRDefault="0037154A" w:rsidP="0037154A">
            <w:pPr>
              <w:spacing w:after="0"/>
              <w:jc w:val="center"/>
              <w:rPr>
                <w:rFonts w:ascii="Arial" w:hAnsi="Arial" w:cs="Arial"/>
                <w:sz w:val="24"/>
                <w:szCs w:val="24"/>
              </w:rPr>
            </w:pPr>
            <w:r>
              <w:rPr>
                <w:rFonts w:ascii="Arial" w:hAnsi="Arial" w:cs="Arial"/>
                <w:sz w:val="24"/>
                <w:szCs w:val="24"/>
              </w:rPr>
              <w:t>5.71</w:t>
            </w:r>
          </w:p>
        </w:tc>
        <w:tc>
          <w:tcPr>
            <w:tcW w:w="1413" w:type="dxa"/>
            <w:shd w:val="clear" w:color="auto" w:fill="E0E0E0"/>
          </w:tcPr>
          <w:p w:rsidR="0037154A" w:rsidRPr="006E2242" w:rsidRDefault="0037154A" w:rsidP="0037154A">
            <w:pPr>
              <w:spacing w:after="0"/>
              <w:jc w:val="center"/>
              <w:rPr>
                <w:rFonts w:ascii="Arial" w:hAnsi="Arial" w:cs="Arial"/>
                <w:sz w:val="24"/>
                <w:szCs w:val="24"/>
              </w:rPr>
            </w:pPr>
            <w:r>
              <w:rPr>
                <w:rFonts w:ascii="Arial" w:hAnsi="Arial" w:cs="Arial"/>
                <w:sz w:val="24"/>
                <w:szCs w:val="24"/>
              </w:rPr>
              <w:t>5.71</w:t>
            </w:r>
          </w:p>
        </w:tc>
      </w:tr>
    </w:tbl>
    <w:p w:rsidR="007B7CDF" w:rsidRPr="003C7A5A" w:rsidRDefault="007B7CDF" w:rsidP="007B7CDF">
      <w:pPr>
        <w:spacing w:after="0"/>
        <w:rPr>
          <w:rFonts w:ascii="Arial" w:hAnsi="Arial" w:cs="Arial"/>
          <w:sz w:val="24"/>
          <w:szCs w:val="24"/>
        </w:rPr>
      </w:pPr>
      <w:r w:rsidRPr="003C7A5A">
        <w:rPr>
          <w:rFonts w:ascii="Arial" w:hAnsi="Arial" w:cs="Arial"/>
          <w:sz w:val="24"/>
          <w:szCs w:val="24"/>
        </w:rPr>
        <w:t>* APS is Average Point Score</w:t>
      </w:r>
    </w:p>
    <w:p w:rsidR="007B7CDF" w:rsidRPr="009B4CFB" w:rsidRDefault="007B7CDF" w:rsidP="007B7CDF">
      <w:pPr>
        <w:spacing w:after="0"/>
        <w:rPr>
          <w:rFonts w:ascii="Arial" w:hAnsi="Arial" w:cs="Arial"/>
          <w:sz w:val="24"/>
          <w:szCs w:val="24"/>
        </w:rPr>
      </w:pPr>
    </w:p>
    <w:p w:rsidR="007B7CDF" w:rsidRPr="009B4CFB" w:rsidRDefault="007B7CDF" w:rsidP="007B7CDF">
      <w:pPr>
        <w:numPr>
          <w:ilvl w:val="0"/>
          <w:numId w:val="24"/>
        </w:numPr>
        <w:autoSpaceDE w:val="0"/>
        <w:autoSpaceDN w:val="0"/>
        <w:adjustRightInd w:val="0"/>
        <w:spacing w:after="0" w:line="240" w:lineRule="auto"/>
        <w:rPr>
          <w:rFonts w:ascii="Arial" w:hAnsi="Arial" w:cs="Arial"/>
          <w:sz w:val="24"/>
          <w:szCs w:val="24"/>
        </w:rPr>
      </w:pPr>
      <w:r w:rsidRPr="009B4CFB">
        <w:rPr>
          <w:rFonts w:ascii="Arial" w:hAnsi="Arial" w:cs="Arial"/>
          <w:sz w:val="24"/>
          <w:szCs w:val="24"/>
        </w:rPr>
        <w:t xml:space="preserve">The average grades for Lancashire residents </w:t>
      </w:r>
      <w:r w:rsidR="005F1FF8" w:rsidRPr="009B4CFB">
        <w:rPr>
          <w:rFonts w:ascii="Arial" w:hAnsi="Arial" w:cs="Arial"/>
          <w:sz w:val="24"/>
          <w:szCs w:val="24"/>
        </w:rPr>
        <w:t xml:space="preserve">vary across the qualification categories when compared to the averages for state-funded schools and colleges and England overall.  The average grades for A levels and </w:t>
      </w:r>
      <w:r w:rsidR="009B4CFB" w:rsidRPr="009B4CFB">
        <w:rPr>
          <w:rFonts w:ascii="Arial" w:hAnsi="Arial" w:cs="Arial"/>
          <w:sz w:val="24"/>
          <w:szCs w:val="24"/>
        </w:rPr>
        <w:t>A</w:t>
      </w:r>
      <w:r w:rsidR="005F1FF8" w:rsidRPr="009B4CFB">
        <w:rPr>
          <w:rFonts w:ascii="Arial" w:hAnsi="Arial" w:cs="Arial"/>
          <w:sz w:val="24"/>
          <w:szCs w:val="24"/>
        </w:rPr>
        <w:t xml:space="preserve">cademic qualifications are </w:t>
      </w:r>
      <w:r w:rsidR="009B4CFB" w:rsidRPr="009B4CFB">
        <w:rPr>
          <w:rFonts w:ascii="Arial" w:hAnsi="Arial" w:cs="Arial"/>
          <w:sz w:val="24"/>
          <w:szCs w:val="24"/>
        </w:rPr>
        <w:t>above the comparators, Applied General and Tech Levels are below the comparators and Technical Certificates and Level 2 Vocational qualifications are in line with the comparators</w:t>
      </w:r>
    </w:p>
    <w:p w:rsidR="007B7CDF" w:rsidRPr="009B4CFB" w:rsidRDefault="009B4CFB" w:rsidP="007B7CDF">
      <w:pPr>
        <w:numPr>
          <w:ilvl w:val="0"/>
          <w:numId w:val="24"/>
        </w:numPr>
        <w:autoSpaceDE w:val="0"/>
        <w:autoSpaceDN w:val="0"/>
        <w:adjustRightInd w:val="0"/>
        <w:spacing w:after="0" w:line="240" w:lineRule="auto"/>
        <w:rPr>
          <w:rFonts w:ascii="Arial" w:hAnsi="Arial" w:cs="Arial"/>
          <w:sz w:val="24"/>
          <w:szCs w:val="24"/>
        </w:rPr>
      </w:pPr>
      <w:r w:rsidRPr="009B4CFB">
        <w:rPr>
          <w:rFonts w:ascii="Arial" w:hAnsi="Arial" w:cs="Arial"/>
          <w:sz w:val="24"/>
          <w:szCs w:val="24"/>
        </w:rPr>
        <w:t>As above, the</w:t>
      </w:r>
      <w:r w:rsidR="007B7CDF" w:rsidRPr="009B4CFB">
        <w:rPr>
          <w:rFonts w:ascii="Arial" w:hAnsi="Arial" w:cs="Arial"/>
          <w:sz w:val="24"/>
          <w:szCs w:val="24"/>
        </w:rPr>
        <w:t xml:space="preserve"> APS for Lancashire residents </w:t>
      </w:r>
      <w:r w:rsidRPr="009B4CFB">
        <w:rPr>
          <w:rFonts w:ascii="Arial" w:hAnsi="Arial" w:cs="Arial"/>
          <w:sz w:val="24"/>
          <w:szCs w:val="24"/>
        </w:rPr>
        <w:t>vary across the qualification categories when compared to the averages for state-funded schools and colleges and England overall.  The APS for A levels, Academic qualifications, Technical Certificates and Level 2 Vocational qualifications are above the comparators and Applied General and Tech Levels are below</w:t>
      </w:r>
    </w:p>
    <w:p w:rsidR="007B7CDF" w:rsidRPr="009B4CFB" w:rsidRDefault="007B7CDF" w:rsidP="007B7CDF">
      <w:pPr>
        <w:spacing w:after="0"/>
        <w:rPr>
          <w:rFonts w:ascii="Arial" w:hAnsi="Arial" w:cs="Arial"/>
          <w:sz w:val="24"/>
          <w:szCs w:val="24"/>
        </w:rPr>
      </w:pPr>
    </w:p>
    <w:p w:rsidR="00B7513E" w:rsidRDefault="00B7513E">
      <w:pPr>
        <w:rPr>
          <w:rFonts w:ascii="Arial" w:eastAsia="Cambria" w:hAnsi="Arial" w:cs="Arial"/>
          <w:b/>
          <w:bCs/>
          <w:sz w:val="24"/>
          <w:szCs w:val="24"/>
          <w:lang w:eastAsia="en-GB"/>
        </w:rPr>
      </w:pPr>
      <w:r>
        <w:rPr>
          <w:rFonts w:ascii="Arial" w:eastAsia="Cambria" w:hAnsi="Arial" w:cs="Arial"/>
          <w:b/>
          <w:bCs/>
          <w:sz w:val="24"/>
          <w:szCs w:val="24"/>
          <w:lang w:eastAsia="en-GB"/>
        </w:rPr>
        <w:br w:type="page"/>
      </w:r>
    </w:p>
    <w:p w:rsidR="007B7CDF" w:rsidRPr="003C7A5A" w:rsidRDefault="007B7CDF" w:rsidP="00C622DD">
      <w:pPr>
        <w:spacing w:after="0" w:line="240" w:lineRule="auto"/>
        <w:rPr>
          <w:rFonts w:ascii="Arial" w:eastAsia="Cambria" w:hAnsi="Arial" w:cs="Arial"/>
          <w:sz w:val="24"/>
          <w:szCs w:val="24"/>
          <w:lang w:eastAsia="en-GB"/>
        </w:rPr>
      </w:pPr>
      <w:r w:rsidRPr="003C7A5A">
        <w:rPr>
          <w:rFonts w:ascii="Arial" w:eastAsia="Cambria" w:hAnsi="Arial" w:cs="Arial"/>
          <w:b/>
          <w:bCs/>
          <w:sz w:val="24"/>
          <w:szCs w:val="24"/>
          <w:lang w:eastAsia="en-GB"/>
        </w:rPr>
        <w:lastRenderedPageBreak/>
        <w:t xml:space="preserve">English and maths progress </w:t>
      </w:r>
      <w:r w:rsidRPr="003C7A5A">
        <w:rPr>
          <w:rFonts w:ascii="Arial" w:eastAsia="Cambria" w:hAnsi="Arial" w:cs="Arial"/>
          <w:sz w:val="24"/>
          <w:szCs w:val="24"/>
          <w:lang w:eastAsia="en-GB"/>
        </w:rPr>
        <w:t>- t</w:t>
      </w:r>
      <w:proofErr w:type="spellStart"/>
      <w:r w:rsidRPr="003C7A5A">
        <w:rPr>
          <w:rFonts w:ascii="Arial" w:hAnsi="Arial" w:cs="Arial"/>
          <w:sz w:val="24"/>
          <w:szCs w:val="24"/>
          <w:lang w:val="en"/>
        </w:rPr>
        <w:t>hese</w:t>
      </w:r>
      <w:proofErr w:type="spellEnd"/>
      <w:r w:rsidRPr="003C7A5A">
        <w:rPr>
          <w:rFonts w:ascii="Arial" w:hAnsi="Arial" w:cs="Arial"/>
          <w:sz w:val="24"/>
          <w:szCs w:val="24"/>
          <w:lang w:val="en"/>
        </w:rPr>
        <w:t xml:space="preserve"> scores show how much progress students have made in English and </w:t>
      </w:r>
      <w:proofErr w:type="spellStart"/>
      <w:r w:rsidRPr="003C7A5A">
        <w:rPr>
          <w:rFonts w:ascii="Arial" w:hAnsi="Arial" w:cs="Arial"/>
          <w:sz w:val="24"/>
          <w:szCs w:val="24"/>
          <w:lang w:val="en"/>
        </w:rPr>
        <w:t>maths</w:t>
      </w:r>
      <w:proofErr w:type="spellEnd"/>
      <w:r w:rsidRPr="003C7A5A">
        <w:rPr>
          <w:rFonts w:ascii="Arial" w:hAnsi="Arial" w:cs="Arial"/>
          <w:sz w:val="24"/>
          <w:szCs w:val="24"/>
          <w:lang w:val="en"/>
        </w:rPr>
        <w:t xml:space="preserve"> qualifications such as GCSE re-takes, between the end of key stage 4 and the end of the 16 to 18 phase of education</w:t>
      </w:r>
      <w:r w:rsidRPr="00D70E86">
        <w:rPr>
          <w:rFonts w:ascii="Arial" w:hAnsi="Arial" w:cs="Arial"/>
          <w:sz w:val="24"/>
          <w:szCs w:val="24"/>
          <w:lang w:val="en"/>
        </w:rPr>
        <w:t>.  This covers t</w:t>
      </w:r>
      <w:r w:rsidRPr="00D70E86">
        <w:rPr>
          <w:rFonts w:ascii="Arial" w:eastAsia="Cambria" w:hAnsi="Arial" w:cs="Arial"/>
          <w:sz w:val="24"/>
          <w:szCs w:val="24"/>
          <w:lang w:eastAsia="en-GB"/>
        </w:rPr>
        <w:t xml:space="preserve">hose students who did not achieve a good pass at GCSE in English and/or maths at the end of key stage 4.  This relates to those students </w:t>
      </w:r>
      <w:r w:rsidRPr="00D70E86">
        <w:rPr>
          <w:rFonts w:ascii="Arial" w:hAnsi="Arial" w:cs="Arial"/>
          <w:sz w:val="24"/>
          <w:szCs w:val="24"/>
        </w:rPr>
        <w:t xml:space="preserve">who do not hold at least a GCSE grade 4 (reformed grading) or grade C (legacy grading) in these subjects.  </w:t>
      </w:r>
      <w:r w:rsidRPr="00D70E86">
        <w:rPr>
          <w:rFonts w:ascii="Arial" w:eastAsia="Cambria" w:hAnsi="Arial" w:cs="Arial"/>
          <w:sz w:val="24"/>
          <w:szCs w:val="24"/>
          <w:lang w:eastAsia="en-GB"/>
        </w:rPr>
        <w:t xml:space="preserve">The methodology for the measure is closely aligned with the condition of funding rules, which means that students that do not achieve a good pass are required to continue to study English and/or maths at post-16.  </w:t>
      </w:r>
      <w:r w:rsidRPr="003C7A5A">
        <w:rPr>
          <w:rFonts w:ascii="Arial" w:eastAsia="Cambria" w:hAnsi="Arial" w:cs="Arial"/>
          <w:sz w:val="24"/>
          <w:szCs w:val="24"/>
          <w:lang w:eastAsia="en-GB"/>
        </w:rPr>
        <w:t xml:space="preserve">A summary </w:t>
      </w:r>
      <w:r w:rsidRPr="003C7A5A">
        <w:rPr>
          <w:rFonts w:ascii="Arial" w:eastAsia="Cambria" w:hAnsi="Arial" w:cs="Arial"/>
          <w:sz w:val="24"/>
          <w:szCs w:val="24"/>
        </w:rPr>
        <w:t>of the 201</w:t>
      </w:r>
      <w:r w:rsidR="00343ABB">
        <w:rPr>
          <w:rFonts w:ascii="Arial" w:eastAsia="Cambria" w:hAnsi="Arial" w:cs="Arial"/>
          <w:sz w:val="24"/>
          <w:szCs w:val="24"/>
        </w:rPr>
        <w:t>7/18</w:t>
      </w:r>
      <w:r w:rsidRPr="003C7A5A">
        <w:rPr>
          <w:rFonts w:ascii="Arial" w:eastAsia="Cambria" w:hAnsi="Arial" w:cs="Arial"/>
          <w:sz w:val="24"/>
          <w:szCs w:val="24"/>
        </w:rPr>
        <w:t xml:space="preserve"> performance </w:t>
      </w:r>
      <w:r w:rsidRPr="003C7A5A">
        <w:rPr>
          <w:rFonts w:ascii="Arial" w:eastAsia="Cambria" w:hAnsi="Arial" w:cs="Arial"/>
          <w:sz w:val="24"/>
          <w:szCs w:val="24"/>
          <w:lang w:eastAsia="en-GB"/>
        </w:rPr>
        <w:t>is shown in the table below:</w:t>
      </w:r>
    </w:p>
    <w:p w:rsidR="007B7CDF" w:rsidRPr="003C7A5A" w:rsidRDefault="007B7CDF" w:rsidP="007B7CDF">
      <w:pPr>
        <w:spacing w:after="0"/>
        <w:rPr>
          <w:rFonts w:ascii="Arial" w:eastAsia="Cambria" w:hAnsi="Arial" w:cs="Arial"/>
          <w:sz w:val="24"/>
          <w:szCs w:val="24"/>
          <w:lang w:eastAsia="en-GB"/>
        </w:rPr>
      </w:pPr>
    </w:p>
    <w:tbl>
      <w:tblPr>
        <w:tblW w:w="0" w:type="auto"/>
        <w:tblLook w:val="04A0" w:firstRow="1" w:lastRow="0" w:firstColumn="1" w:lastColumn="0" w:noHBand="0" w:noVBand="1"/>
      </w:tblPr>
      <w:tblGrid>
        <w:gridCol w:w="3261"/>
        <w:gridCol w:w="2835"/>
        <w:gridCol w:w="2835"/>
      </w:tblGrid>
      <w:tr w:rsidR="007B7CDF" w:rsidRPr="008E2ACA" w:rsidTr="004C1F11">
        <w:tc>
          <w:tcPr>
            <w:tcW w:w="3261" w:type="dxa"/>
            <w:shd w:val="clear" w:color="auto" w:fill="00ACE9"/>
          </w:tcPr>
          <w:p w:rsidR="007B7CDF" w:rsidRPr="008E2ACA" w:rsidRDefault="007B7CDF" w:rsidP="005A49A9">
            <w:pPr>
              <w:spacing w:after="0"/>
              <w:rPr>
                <w:rFonts w:ascii="Arial" w:eastAsia="Cambria" w:hAnsi="Arial" w:cs="Arial"/>
                <w:b/>
                <w:color w:val="FFFFFF" w:themeColor="background1"/>
                <w:sz w:val="24"/>
                <w:szCs w:val="24"/>
                <w:lang w:eastAsia="en-GB"/>
              </w:rPr>
            </w:pPr>
          </w:p>
        </w:tc>
        <w:tc>
          <w:tcPr>
            <w:tcW w:w="2835" w:type="dxa"/>
            <w:shd w:val="clear" w:color="auto" w:fill="00ACE9"/>
          </w:tcPr>
          <w:p w:rsidR="007B7CDF" w:rsidRPr="008E2ACA" w:rsidRDefault="007B7CDF" w:rsidP="005A49A9">
            <w:pPr>
              <w:spacing w:after="0"/>
              <w:jc w:val="center"/>
              <w:rPr>
                <w:rFonts w:ascii="Arial" w:eastAsia="Cambria" w:hAnsi="Arial" w:cs="Arial"/>
                <w:b/>
                <w:color w:val="FFFFFF" w:themeColor="background1"/>
                <w:sz w:val="24"/>
                <w:szCs w:val="24"/>
                <w:lang w:eastAsia="en-GB"/>
              </w:rPr>
            </w:pPr>
            <w:r w:rsidRPr="008E2ACA">
              <w:rPr>
                <w:rFonts w:ascii="Arial" w:eastAsia="Cambria" w:hAnsi="Arial" w:cs="Arial"/>
                <w:b/>
                <w:color w:val="FFFFFF" w:themeColor="background1"/>
                <w:sz w:val="24"/>
                <w:szCs w:val="24"/>
                <w:lang w:eastAsia="en-GB"/>
              </w:rPr>
              <w:t>English Progress Score</w:t>
            </w:r>
          </w:p>
        </w:tc>
        <w:tc>
          <w:tcPr>
            <w:tcW w:w="2835" w:type="dxa"/>
            <w:shd w:val="clear" w:color="auto" w:fill="00ACE9"/>
          </w:tcPr>
          <w:p w:rsidR="004C1F11" w:rsidRDefault="007B7CDF" w:rsidP="005A49A9">
            <w:pPr>
              <w:spacing w:after="0"/>
              <w:jc w:val="center"/>
              <w:rPr>
                <w:rFonts w:ascii="Arial" w:eastAsia="Cambria" w:hAnsi="Arial" w:cs="Arial"/>
                <w:b/>
                <w:color w:val="FFFFFF" w:themeColor="background1"/>
                <w:sz w:val="24"/>
                <w:szCs w:val="24"/>
                <w:lang w:eastAsia="en-GB"/>
              </w:rPr>
            </w:pPr>
            <w:r w:rsidRPr="008E2ACA">
              <w:rPr>
                <w:rFonts w:ascii="Arial" w:eastAsia="Cambria" w:hAnsi="Arial" w:cs="Arial"/>
                <w:b/>
                <w:color w:val="FFFFFF" w:themeColor="background1"/>
                <w:sz w:val="24"/>
                <w:szCs w:val="24"/>
                <w:lang w:eastAsia="en-GB"/>
              </w:rPr>
              <w:t xml:space="preserve">Maths Progress </w:t>
            </w:r>
          </w:p>
          <w:p w:rsidR="007B7CDF" w:rsidRPr="008E2ACA" w:rsidRDefault="007B7CDF" w:rsidP="005A49A9">
            <w:pPr>
              <w:spacing w:after="0"/>
              <w:jc w:val="center"/>
              <w:rPr>
                <w:rFonts w:ascii="Arial" w:eastAsia="Cambria" w:hAnsi="Arial" w:cs="Arial"/>
                <w:b/>
                <w:color w:val="FFFFFF" w:themeColor="background1"/>
                <w:sz w:val="24"/>
                <w:szCs w:val="24"/>
                <w:lang w:eastAsia="en-GB"/>
              </w:rPr>
            </w:pPr>
            <w:r w:rsidRPr="008E2ACA">
              <w:rPr>
                <w:rFonts w:ascii="Arial" w:eastAsia="Cambria" w:hAnsi="Arial" w:cs="Arial"/>
                <w:b/>
                <w:color w:val="FFFFFF" w:themeColor="background1"/>
                <w:sz w:val="24"/>
                <w:szCs w:val="24"/>
                <w:lang w:eastAsia="en-GB"/>
              </w:rPr>
              <w:t>Score</w:t>
            </w:r>
          </w:p>
        </w:tc>
      </w:tr>
      <w:tr w:rsidR="007B7CDF" w:rsidRPr="00F00BE6" w:rsidTr="004C1F11">
        <w:tc>
          <w:tcPr>
            <w:tcW w:w="3261" w:type="dxa"/>
            <w:shd w:val="clear" w:color="auto" w:fill="575756"/>
          </w:tcPr>
          <w:p w:rsidR="007B7CDF" w:rsidRPr="004C1F11" w:rsidRDefault="007B7CDF" w:rsidP="005A49A9">
            <w:pPr>
              <w:spacing w:after="0"/>
              <w:rPr>
                <w:rFonts w:ascii="Arial" w:hAnsi="Arial" w:cs="Arial"/>
                <w:color w:val="FFFFFF" w:themeColor="background1"/>
                <w:sz w:val="24"/>
                <w:szCs w:val="24"/>
              </w:rPr>
            </w:pPr>
            <w:r w:rsidRPr="004C1F11">
              <w:rPr>
                <w:rFonts w:ascii="Arial" w:hAnsi="Arial" w:cs="Arial"/>
                <w:color w:val="FFFFFF" w:themeColor="background1"/>
                <w:sz w:val="24"/>
                <w:szCs w:val="24"/>
              </w:rPr>
              <w:t>Lancashire</w:t>
            </w:r>
          </w:p>
        </w:tc>
        <w:tc>
          <w:tcPr>
            <w:tcW w:w="2835" w:type="dxa"/>
            <w:shd w:val="clear" w:color="auto" w:fill="575756"/>
          </w:tcPr>
          <w:p w:rsidR="007B7CDF" w:rsidRPr="00F00BE6" w:rsidRDefault="00343ABB" w:rsidP="00343ABB">
            <w:pPr>
              <w:spacing w:after="0"/>
              <w:jc w:val="center"/>
              <w:rPr>
                <w:rFonts w:ascii="Arial" w:eastAsia="Cambria" w:hAnsi="Arial" w:cs="Arial"/>
                <w:color w:val="FFFFFF" w:themeColor="background1"/>
                <w:sz w:val="24"/>
                <w:szCs w:val="24"/>
                <w:lang w:eastAsia="en-GB"/>
              </w:rPr>
            </w:pPr>
            <w:r>
              <w:rPr>
                <w:rFonts w:ascii="Arial" w:eastAsia="Cambria" w:hAnsi="Arial" w:cs="Arial"/>
                <w:color w:val="FFFFFF" w:themeColor="background1"/>
                <w:sz w:val="24"/>
                <w:szCs w:val="24"/>
                <w:lang w:eastAsia="en-GB"/>
              </w:rPr>
              <w:t>0.08</w:t>
            </w:r>
          </w:p>
        </w:tc>
        <w:tc>
          <w:tcPr>
            <w:tcW w:w="2835" w:type="dxa"/>
            <w:shd w:val="clear" w:color="auto" w:fill="575756"/>
          </w:tcPr>
          <w:p w:rsidR="007B7CDF" w:rsidRPr="00F00BE6" w:rsidRDefault="007B7CDF" w:rsidP="00343ABB">
            <w:pPr>
              <w:spacing w:after="0"/>
              <w:jc w:val="center"/>
              <w:rPr>
                <w:rFonts w:ascii="Arial" w:eastAsia="Cambria" w:hAnsi="Arial" w:cs="Arial"/>
                <w:color w:val="FFFFFF" w:themeColor="background1"/>
                <w:sz w:val="24"/>
                <w:szCs w:val="24"/>
                <w:lang w:eastAsia="en-GB"/>
              </w:rPr>
            </w:pPr>
            <w:r w:rsidRPr="00F00BE6">
              <w:rPr>
                <w:rFonts w:ascii="Arial" w:eastAsia="Cambria" w:hAnsi="Arial" w:cs="Arial"/>
                <w:color w:val="FFFFFF" w:themeColor="background1"/>
                <w:sz w:val="24"/>
                <w:szCs w:val="24"/>
                <w:lang w:eastAsia="en-GB"/>
              </w:rPr>
              <w:t>0.</w:t>
            </w:r>
            <w:r w:rsidR="00343ABB">
              <w:rPr>
                <w:rFonts w:ascii="Arial" w:eastAsia="Cambria" w:hAnsi="Arial" w:cs="Arial"/>
                <w:color w:val="FFFFFF" w:themeColor="background1"/>
                <w:sz w:val="24"/>
                <w:szCs w:val="24"/>
                <w:lang w:eastAsia="en-GB"/>
              </w:rPr>
              <w:t>14</w:t>
            </w:r>
          </w:p>
        </w:tc>
      </w:tr>
      <w:tr w:rsidR="007B7CDF" w:rsidRPr="006E2242" w:rsidTr="004C1F11">
        <w:tc>
          <w:tcPr>
            <w:tcW w:w="3261" w:type="dxa"/>
            <w:shd w:val="clear" w:color="auto" w:fill="E0E0E0"/>
          </w:tcPr>
          <w:p w:rsidR="007B7CDF" w:rsidRPr="004C1F11" w:rsidRDefault="007B7CDF" w:rsidP="005A49A9">
            <w:pPr>
              <w:spacing w:after="0"/>
              <w:rPr>
                <w:rFonts w:ascii="Arial" w:hAnsi="Arial" w:cs="Arial"/>
                <w:sz w:val="24"/>
                <w:szCs w:val="24"/>
              </w:rPr>
            </w:pPr>
            <w:r w:rsidRPr="004C1F11">
              <w:rPr>
                <w:rFonts w:ascii="Arial" w:hAnsi="Arial" w:cs="Arial"/>
                <w:sz w:val="24"/>
                <w:szCs w:val="24"/>
              </w:rPr>
              <w:t>State-funded Schools and Colleges</w:t>
            </w:r>
          </w:p>
        </w:tc>
        <w:tc>
          <w:tcPr>
            <w:tcW w:w="2835" w:type="dxa"/>
            <w:shd w:val="clear" w:color="auto" w:fill="E0E0E0"/>
          </w:tcPr>
          <w:p w:rsidR="007B7CDF" w:rsidRPr="006E2242" w:rsidRDefault="00343ABB" w:rsidP="00343ABB">
            <w:pPr>
              <w:spacing w:after="0"/>
              <w:jc w:val="center"/>
              <w:rPr>
                <w:rFonts w:ascii="Arial" w:eastAsia="Cambria" w:hAnsi="Arial" w:cs="Arial"/>
                <w:sz w:val="24"/>
                <w:szCs w:val="24"/>
                <w:lang w:eastAsia="en-GB"/>
              </w:rPr>
            </w:pPr>
            <w:r>
              <w:rPr>
                <w:rFonts w:ascii="Arial" w:eastAsia="Cambria" w:hAnsi="Arial" w:cs="Arial"/>
                <w:sz w:val="24"/>
                <w:szCs w:val="24"/>
                <w:lang w:eastAsia="en-GB"/>
              </w:rPr>
              <w:t>0.06</w:t>
            </w:r>
          </w:p>
        </w:tc>
        <w:tc>
          <w:tcPr>
            <w:tcW w:w="2835" w:type="dxa"/>
            <w:shd w:val="clear" w:color="auto" w:fill="E0E0E0"/>
          </w:tcPr>
          <w:p w:rsidR="007B7CDF" w:rsidRPr="006E2242" w:rsidRDefault="00343ABB" w:rsidP="00343ABB">
            <w:pPr>
              <w:spacing w:after="0"/>
              <w:jc w:val="center"/>
              <w:rPr>
                <w:rFonts w:ascii="Arial" w:eastAsia="Cambria" w:hAnsi="Arial" w:cs="Arial"/>
                <w:sz w:val="24"/>
                <w:szCs w:val="24"/>
                <w:lang w:eastAsia="en-GB"/>
              </w:rPr>
            </w:pPr>
            <w:r>
              <w:rPr>
                <w:rFonts w:ascii="Arial" w:eastAsia="Cambria" w:hAnsi="Arial" w:cs="Arial"/>
                <w:sz w:val="24"/>
                <w:szCs w:val="24"/>
                <w:lang w:eastAsia="en-GB"/>
              </w:rPr>
              <w:t>0.05</w:t>
            </w:r>
          </w:p>
        </w:tc>
      </w:tr>
      <w:tr w:rsidR="007B7CDF" w:rsidRPr="00F00BE6" w:rsidTr="004C1F11">
        <w:tc>
          <w:tcPr>
            <w:tcW w:w="3261" w:type="dxa"/>
            <w:shd w:val="clear" w:color="auto" w:fill="575756"/>
          </w:tcPr>
          <w:p w:rsidR="007B7CDF" w:rsidRPr="004C1F11" w:rsidRDefault="007B7CDF" w:rsidP="005A49A9">
            <w:pPr>
              <w:spacing w:after="0"/>
              <w:rPr>
                <w:rFonts w:ascii="Arial" w:hAnsi="Arial" w:cs="Arial"/>
                <w:color w:val="FFFFFF" w:themeColor="background1"/>
                <w:sz w:val="24"/>
                <w:szCs w:val="24"/>
              </w:rPr>
            </w:pPr>
            <w:r w:rsidRPr="004C1F11">
              <w:rPr>
                <w:rFonts w:ascii="Arial" w:hAnsi="Arial" w:cs="Arial"/>
                <w:color w:val="FFFFFF" w:themeColor="background1"/>
                <w:sz w:val="24"/>
                <w:szCs w:val="24"/>
              </w:rPr>
              <w:t>England</w:t>
            </w:r>
          </w:p>
        </w:tc>
        <w:tc>
          <w:tcPr>
            <w:tcW w:w="2835" w:type="dxa"/>
            <w:shd w:val="clear" w:color="auto" w:fill="575756"/>
          </w:tcPr>
          <w:p w:rsidR="007B7CDF" w:rsidRPr="00F00BE6" w:rsidRDefault="00343ABB" w:rsidP="00343ABB">
            <w:pPr>
              <w:spacing w:after="0"/>
              <w:jc w:val="center"/>
              <w:rPr>
                <w:rFonts w:ascii="Arial" w:eastAsia="Cambria" w:hAnsi="Arial" w:cs="Arial"/>
                <w:color w:val="FFFFFF" w:themeColor="background1"/>
                <w:sz w:val="24"/>
                <w:szCs w:val="24"/>
                <w:lang w:eastAsia="en-GB"/>
              </w:rPr>
            </w:pPr>
            <w:r>
              <w:rPr>
                <w:rFonts w:ascii="Arial" w:eastAsia="Cambria" w:hAnsi="Arial" w:cs="Arial"/>
                <w:color w:val="FFFFFF" w:themeColor="background1"/>
                <w:sz w:val="24"/>
                <w:szCs w:val="24"/>
                <w:lang w:eastAsia="en-GB"/>
              </w:rPr>
              <w:t>0.06</w:t>
            </w:r>
          </w:p>
        </w:tc>
        <w:tc>
          <w:tcPr>
            <w:tcW w:w="2835" w:type="dxa"/>
            <w:shd w:val="clear" w:color="auto" w:fill="575756"/>
          </w:tcPr>
          <w:p w:rsidR="007B7CDF" w:rsidRPr="00F00BE6" w:rsidRDefault="00343ABB" w:rsidP="00343ABB">
            <w:pPr>
              <w:spacing w:after="0"/>
              <w:jc w:val="center"/>
              <w:rPr>
                <w:rFonts w:ascii="Arial" w:eastAsia="Cambria" w:hAnsi="Arial" w:cs="Arial"/>
                <w:color w:val="FFFFFF" w:themeColor="background1"/>
                <w:sz w:val="24"/>
                <w:szCs w:val="24"/>
                <w:lang w:eastAsia="en-GB"/>
              </w:rPr>
            </w:pPr>
            <w:r>
              <w:rPr>
                <w:rFonts w:ascii="Arial" w:eastAsia="Cambria" w:hAnsi="Arial" w:cs="Arial"/>
                <w:color w:val="FFFFFF" w:themeColor="background1"/>
                <w:sz w:val="24"/>
                <w:szCs w:val="24"/>
                <w:lang w:eastAsia="en-GB"/>
              </w:rPr>
              <w:t>0.05</w:t>
            </w:r>
          </w:p>
        </w:tc>
      </w:tr>
    </w:tbl>
    <w:p w:rsidR="007B7CDF" w:rsidRPr="009B4CFB" w:rsidRDefault="007B7CDF" w:rsidP="007B7CDF">
      <w:pPr>
        <w:spacing w:after="0"/>
        <w:rPr>
          <w:rFonts w:ascii="Arial" w:eastAsia="Cambria" w:hAnsi="Arial" w:cs="Arial"/>
          <w:sz w:val="24"/>
          <w:szCs w:val="24"/>
          <w:lang w:eastAsia="en-GB"/>
        </w:rPr>
      </w:pPr>
    </w:p>
    <w:p w:rsidR="007B7CDF" w:rsidRPr="009B4CFB" w:rsidRDefault="007B7CDF" w:rsidP="00C622DD">
      <w:pPr>
        <w:numPr>
          <w:ilvl w:val="0"/>
          <w:numId w:val="25"/>
        </w:numPr>
        <w:autoSpaceDE w:val="0"/>
        <w:autoSpaceDN w:val="0"/>
        <w:adjustRightInd w:val="0"/>
        <w:spacing w:after="0" w:line="240" w:lineRule="auto"/>
        <w:ind w:left="714" w:hanging="357"/>
        <w:rPr>
          <w:rFonts w:ascii="Arial" w:eastAsia="Cambria" w:hAnsi="Arial" w:cs="Arial"/>
          <w:sz w:val="24"/>
          <w:szCs w:val="24"/>
          <w:lang w:eastAsia="en-GB"/>
        </w:rPr>
      </w:pPr>
      <w:r w:rsidRPr="009B4CFB">
        <w:rPr>
          <w:rFonts w:ascii="Arial" w:eastAsia="Cambria" w:hAnsi="Arial" w:cs="Arial"/>
          <w:sz w:val="24"/>
          <w:szCs w:val="24"/>
          <w:lang w:eastAsia="en-GB"/>
        </w:rPr>
        <w:t xml:space="preserve">The progress made by Lancashire residents in English is </w:t>
      </w:r>
      <w:r w:rsidR="009B4CFB" w:rsidRPr="009B4CFB">
        <w:rPr>
          <w:rFonts w:ascii="Arial" w:eastAsia="Cambria" w:hAnsi="Arial" w:cs="Arial"/>
          <w:sz w:val="24"/>
          <w:szCs w:val="24"/>
          <w:lang w:eastAsia="en-GB"/>
        </w:rPr>
        <w:t xml:space="preserve">positive and is above </w:t>
      </w:r>
      <w:r w:rsidRPr="009B4CFB">
        <w:rPr>
          <w:rFonts w:ascii="Arial" w:hAnsi="Arial" w:cs="Arial"/>
          <w:sz w:val="24"/>
          <w:szCs w:val="24"/>
        </w:rPr>
        <w:t xml:space="preserve">both the state-funded schools and colleges and the England averages </w:t>
      </w:r>
    </w:p>
    <w:p w:rsidR="007B7CDF" w:rsidRPr="009B4CFB" w:rsidRDefault="007B7CDF" w:rsidP="00C622DD">
      <w:pPr>
        <w:numPr>
          <w:ilvl w:val="0"/>
          <w:numId w:val="25"/>
        </w:numPr>
        <w:autoSpaceDE w:val="0"/>
        <w:autoSpaceDN w:val="0"/>
        <w:adjustRightInd w:val="0"/>
        <w:spacing w:after="0" w:line="240" w:lineRule="auto"/>
        <w:ind w:left="714" w:hanging="357"/>
        <w:rPr>
          <w:rFonts w:ascii="Arial" w:eastAsia="Cambria" w:hAnsi="Arial" w:cs="Arial"/>
          <w:sz w:val="24"/>
          <w:szCs w:val="24"/>
          <w:lang w:eastAsia="en-GB"/>
        </w:rPr>
      </w:pPr>
      <w:r w:rsidRPr="009B4CFB">
        <w:rPr>
          <w:rFonts w:ascii="Arial" w:hAnsi="Arial" w:cs="Arial"/>
          <w:sz w:val="24"/>
          <w:szCs w:val="24"/>
        </w:rPr>
        <w:t xml:space="preserve">The progress made by Lancashire residents in maths is positive and </w:t>
      </w:r>
      <w:r w:rsidR="009B4CFB">
        <w:rPr>
          <w:rFonts w:ascii="Arial" w:hAnsi="Arial" w:cs="Arial"/>
          <w:sz w:val="24"/>
          <w:szCs w:val="24"/>
        </w:rPr>
        <w:t xml:space="preserve">continues to be </w:t>
      </w:r>
      <w:r w:rsidR="009B4CFB" w:rsidRPr="009B4CFB">
        <w:rPr>
          <w:rFonts w:ascii="Arial" w:hAnsi="Arial" w:cs="Arial"/>
          <w:sz w:val="24"/>
          <w:szCs w:val="24"/>
        </w:rPr>
        <w:t xml:space="preserve">above both the </w:t>
      </w:r>
      <w:r w:rsidRPr="009B4CFB">
        <w:rPr>
          <w:rFonts w:ascii="Arial" w:hAnsi="Arial" w:cs="Arial"/>
          <w:sz w:val="24"/>
          <w:szCs w:val="24"/>
        </w:rPr>
        <w:t xml:space="preserve">state-funded schools and colleges and </w:t>
      </w:r>
      <w:r w:rsidR="009B4CFB" w:rsidRPr="009B4CFB">
        <w:rPr>
          <w:rFonts w:ascii="Arial" w:hAnsi="Arial" w:cs="Arial"/>
          <w:sz w:val="24"/>
          <w:szCs w:val="24"/>
        </w:rPr>
        <w:t xml:space="preserve">the </w:t>
      </w:r>
      <w:r w:rsidRPr="009B4CFB">
        <w:rPr>
          <w:rFonts w:ascii="Arial" w:hAnsi="Arial" w:cs="Arial"/>
          <w:sz w:val="24"/>
          <w:szCs w:val="24"/>
        </w:rPr>
        <w:t>England</w:t>
      </w:r>
      <w:r w:rsidR="009B4CFB" w:rsidRPr="009B4CFB">
        <w:rPr>
          <w:rFonts w:ascii="Arial" w:hAnsi="Arial" w:cs="Arial"/>
          <w:sz w:val="24"/>
          <w:szCs w:val="24"/>
        </w:rPr>
        <w:t xml:space="preserve"> averages</w:t>
      </w:r>
    </w:p>
    <w:p w:rsidR="007B7CDF" w:rsidRPr="009B4CFB" w:rsidRDefault="007B7CDF" w:rsidP="007B7CDF">
      <w:pPr>
        <w:spacing w:after="0"/>
        <w:rPr>
          <w:rFonts w:ascii="Arial" w:eastAsia="Cambria" w:hAnsi="Arial" w:cs="Arial"/>
          <w:sz w:val="24"/>
          <w:szCs w:val="24"/>
          <w:lang w:eastAsia="en-GB"/>
        </w:rPr>
      </w:pPr>
    </w:p>
    <w:p w:rsidR="007B7CDF" w:rsidRPr="003C7A5A" w:rsidRDefault="007B7CDF" w:rsidP="00C622DD">
      <w:pPr>
        <w:spacing w:after="0" w:line="240" w:lineRule="auto"/>
        <w:rPr>
          <w:rFonts w:ascii="Arial" w:eastAsia="Cambria" w:hAnsi="Arial" w:cs="Arial"/>
          <w:sz w:val="24"/>
          <w:szCs w:val="24"/>
          <w:lang w:eastAsia="en-GB"/>
        </w:rPr>
      </w:pPr>
      <w:r w:rsidRPr="003C7A5A">
        <w:rPr>
          <w:rFonts w:ascii="Arial" w:eastAsia="Cambria" w:hAnsi="Arial" w:cs="Arial"/>
          <w:b/>
          <w:bCs/>
          <w:sz w:val="24"/>
          <w:szCs w:val="24"/>
          <w:lang w:eastAsia="en-GB"/>
        </w:rPr>
        <w:t>Retention</w:t>
      </w:r>
      <w:r w:rsidRPr="003C7A5A">
        <w:rPr>
          <w:rFonts w:ascii="Arial" w:eastAsia="Cambria" w:hAnsi="Arial" w:cs="Arial"/>
          <w:bCs/>
          <w:sz w:val="24"/>
          <w:szCs w:val="24"/>
          <w:lang w:eastAsia="en-GB"/>
        </w:rPr>
        <w:t xml:space="preserve"> </w:t>
      </w:r>
      <w:r w:rsidRPr="00D70E86">
        <w:rPr>
          <w:rFonts w:ascii="Arial" w:eastAsia="Cambria" w:hAnsi="Arial" w:cs="Arial"/>
          <w:bCs/>
          <w:sz w:val="24"/>
          <w:szCs w:val="24"/>
          <w:lang w:eastAsia="en-GB"/>
        </w:rPr>
        <w:t xml:space="preserve">- </w:t>
      </w:r>
      <w:r w:rsidR="00D70E86" w:rsidRPr="00D70E86">
        <w:rPr>
          <w:rFonts w:ascii="Arial" w:eastAsia="Cambria" w:hAnsi="Arial" w:cs="Arial"/>
          <w:bCs/>
          <w:sz w:val="24"/>
          <w:szCs w:val="24"/>
          <w:lang w:eastAsia="en-GB"/>
        </w:rPr>
        <w:t>t</w:t>
      </w:r>
      <w:r w:rsidRPr="00D70E86">
        <w:rPr>
          <w:rFonts w:ascii="Arial" w:eastAsia="Cambria" w:hAnsi="Arial" w:cs="Arial"/>
          <w:sz w:val="24"/>
          <w:szCs w:val="24"/>
          <w:lang w:eastAsia="en-GB"/>
        </w:rPr>
        <w:t xml:space="preserve">he retention measure shows the proportion of students who are retained to the end of their main programme of study.  </w:t>
      </w:r>
      <w:r w:rsidRPr="003C7A5A">
        <w:rPr>
          <w:rFonts w:ascii="Arial" w:eastAsia="Cambria" w:hAnsi="Arial" w:cs="Arial"/>
          <w:sz w:val="24"/>
          <w:szCs w:val="24"/>
          <w:lang w:eastAsia="en-GB"/>
        </w:rPr>
        <w:t xml:space="preserve">A summary </w:t>
      </w:r>
      <w:r w:rsidRPr="003C7A5A">
        <w:rPr>
          <w:rFonts w:ascii="Arial" w:eastAsia="Cambria" w:hAnsi="Arial" w:cs="Arial"/>
          <w:sz w:val="24"/>
          <w:szCs w:val="24"/>
        </w:rPr>
        <w:t>of the 201</w:t>
      </w:r>
      <w:r w:rsidR="0037154A">
        <w:rPr>
          <w:rFonts w:ascii="Arial" w:eastAsia="Cambria" w:hAnsi="Arial" w:cs="Arial"/>
          <w:sz w:val="24"/>
          <w:szCs w:val="24"/>
        </w:rPr>
        <w:t>7/18</w:t>
      </w:r>
      <w:r w:rsidRPr="003C7A5A">
        <w:rPr>
          <w:rFonts w:ascii="Arial" w:eastAsia="Cambria" w:hAnsi="Arial" w:cs="Arial"/>
          <w:sz w:val="24"/>
          <w:szCs w:val="24"/>
        </w:rPr>
        <w:t xml:space="preserve"> performance</w:t>
      </w:r>
      <w:r w:rsidRPr="003C7A5A">
        <w:rPr>
          <w:rFonts w:ascii="Arial" w:eastAsia="Cambria" w:hAnsi="Arial" w:cs="Arial"/>
          <w:sz w:val="24"/>
          <w:szCs w:val="24"/>
          <w:lang w:eastAsia="en-GB"/>
        </w:rPr>
        <w:t xml:space="preserve"> is shown in the table below:</w:t>
      </w:r>
    </w:p>
    <w:p w:rsidR="007B7CDF" w:rsidRPr="003C7A5A" w:rsidRDefault="007B7CDF" w:rsidP="007B7CDF">
      <w:pPr>
        <w:spacing w:after="0"/>
        <w:rPr>
          <w:rFonts w:ascii="Arial" w:eastAsia="Cambria" w:hAnsi="Arial" w:cs="Arial"/>
          <w:sz w:val="24"/>
          <w:szCs w:val="24"/>
          <w:lang w:eastAsia="en-GB"/>
        </w:rPr>
      </w:pPr>
    </w:p>
    <w:tbl>
      <w:tblPr>
        <w:tblW w:w="10050" w:type="dxa"/>
        <w:tblInd w:w="-567" w:type="dxa"/>
        <w:tblLayout w:type="fixed"/>
        <w:tblLook w:val="04A0" w:firstRow="1" w:lastRow="0" w:firstColumn="1" w:lastColumn="0" w:noHBand="0" w:noVBand="1"/>
      </w:tblPr>
      <w:tblGrid>
        <w:gridCol w:w="1545"/>
        <w:gridCol w:w="992"/>
        <w:gridCol w:w="1701"/>
        <w:gridCol w:w="1701"/>
        <w:gridCol w:w="992"/>
        <w:gridCol w:w="1418"/>
        <w:gridCol w:w="1701"/>
      </w:tblGrid>
      <w:tr w:rsidR="007B7CDF" w:rsidRPr="008E2ACA" w:rsidTr="007B7CDF">
        <w:tc>
          <w:tcPr>
            <w:tcW w:w="1545" w:type="dxa"/>
            <w:shd w:val="clear" w:color="auto" w:fill="00ACE9"/>
          </w:tcPr>
          <w:p w:rsidR="007B7CDF" w:rsidRPr="008E2ACA" w:rsidRDefault="007B7CDF" w:rsidP="005A49A9">
            <w:pPr>
              <w:pStyle w:val="ListParagraph"/>
              <w:spacing w:after="0"/>
              <w:ind w:left="0"/>
              <w:rPr>
                <w:rFonts w:ascii="Arial" w:hAnsi="Arial" w:cs="Arial"/>
                <w:color w:val="FFFFFF" w:themeColor="background1"/>
              </w:rPr>
            </w:pPr>
          </w:p>
        </w:tc>
        <w:tc>
          <w:tcPr>
            <w:tcW w:w="8505" w:type="dxa"/>
            <w:gridSpan w:val="6"/>
            <w:shd w:val="clear" w:color="auto" w:fill="00ACE9"/>
          </w:tcPr>
          <w:p w:rsidR="007B7CDF" w:rsidRPr="008E2ACA" w:rsidRDefault="007B7CDF" w:rsidP="005A49A9">
            <w:pPr>
              <w:pStyle w:val="ListParagraph"/>
              <w:spacing w:after="0"/>
              <w:ind w:left="0"/>
              <w:jc w:val="center"/>
              <w:rPr>
                <w:rFonts w:ascii="Arial" w:hAnsi="Arial" w:cs="Arial"/>
                <w:b/>
                <w:color w:val="FFFFFF" w:themeColor="background1"/>
              </w:rPr>
            </w:pPr>
            <w:r w:rsidRPr="008E2ACA">
              <w:rPr>
                <w:rFonts w:ascii="Arial" w:hAnsi="Arial" w:cs="Arial"/>
                <w:b/>
                <w:color w:val="FFFFFF" w:themeColor="background1"/>
              </w:rPr>
              <w:t xml:space="preserve">% of students retained on: </w:t>
            </w:r>
          </w:p>
        </w:tc>
      </w:tr>
      <w:tr w:rsidR="007B7CDF" w:rsidRPr="008E2ACA" w:rsidTr="007B7CDF">
        <w:tc>
          <w:tcPr>
            <w:tcW w:w="1545" w:type="dxa"/>
            <w:shd w:val="clear" w:color="auto" w:fill="00ACE9"/>
          </w:tcPr>
          <w:p w:rsidR="007B7CDF" w:rsidRPr="008E2ACA" w:rsidRDefault="007B7CDF" w:rsidP="005A49A9">
            <w:pPr>
              <w:pStyle w:val="ListParagraph"/>
              <w:spacing w:after="0"/>
              <w:ind w:left="0"/>
              <w:rPr>
                <w:rFonts w:ascii="Arial" w:hAnsi="Arial" w:cs="Arial"/>
                <w:color w:val="FFFFFF" w:themeColor="background1"/>
              </w:rPr>
            </w:pPr>
          </w:p>
        </w:tc>
        <w:tc>
          <w:tcPr>
            <w:tcW w:w="992" w:type="dxa"/>
            <w:shd w:val="clear" w:color="auto" w:fill="00ACE9"/>
          </w:tcPr>
          <w:p w:rsidR="007B7CDF" w:rsidRPr="008E2ACA" w:rsidRDefault="007B7CDF" w:rsidP="005A49A9">
            <w:pPr>
              <w:spacing w:after="0"/>
              <w:jc w:val="center"/>
              <w:rPr>
                <w:rFonts w:ascii="Arial" w:hAnsi="Arial" w:cs="Arial"/>
                <w:b/>
                <w:color w:val="FFFFFF" w:themeColor="background1"/>
              </w:rPr>
            </w:pPr>
            <w:r w:rsidRPr="008E2ACA">
              <w:rPr>
                <w:rFonts w:ascii="Arial" w:hAnsi="Arial" w:cs="Arial"/>
                <w:b/>
                <w:color w:val="FFFFFF" w:themeColor="background1"/>
              </w:rPr>
              <w:t>A levels</w:t>
            </w:r>
          </w:p>
        </w:tc>
        <w:tc>
          <w:tcPr>
            <w:tcW w:w="1701" w:type="dxa"/>
            <w:shd w:val="clear" w:color="auto" w:fill="00ACE9"/>
          </w:tcPr>
          <w:p w:rsidR="007B7CDF" w:rsidRPr="008E2ACA" w:rsidRDefault="007B7CDF" w:rsidP="005A49A9">
            <w:pPr>
              <w:spacing w:after="0"/>
              <w:jc w:val="center"/>
              <w:rPr>
                <w:rFonts w:ascii="Arial" w:hAnsi="Arial" w:cs="Arial"/>
                <w:b/>
                <w:color w:val="FFFFFF" w:themeColor="background1"/>
              </w:rPr>
            </w:pPr>
            <w:r w:rsidRPr="008E2ACA">
              <w:rPr>
                <w:rFonts w:ascii="Arial" w:hAnsi="Arial" w:cs="Arial"/>
                <w:b/>
                <w:color w:val="FFFFFF" w:themeColor="background1"/>
              </w:rPr>
              <w:t>Academic Qualifications</w:t>
            </w:r>
          </w:p>
        </w:tc>
        <w:tc>
          <w:tcPr>
            <w:tcW w:w="1701" w:type="dxa"/>
            <w:shd w:val="clear" w:color="auto" w:fill="00ACE9"/>
          </w:tcPr>
          <w:p w:rsidR="007B7CDF" w:rsidRPr="008E2ACA" w:rsidRDefault="007B7CDF" w:rsidP="005A49A9">
            <w:pPr>
              <w:spacing w:after="0"/>
              <w:jc w:val="center"/>
              <w:rPr>
                <w:rFonts w:ascii="Arial" w:hAnsi="Arial" w:cs="Arial"/>
                <w:b/>
                <w:color w:val="FFFFFF" w:themeColor="background1"/>
              </w:rPr>
            </w:pPr>
            <w:r w:rsidRPr="008E2ACA">
              <w:rPr>
                <w:rFonts w:ascii="Arial" w:hAnsi="Arial" w:cs="Arial"/>
                <w:b/>
                <w:color w:val="FFFFFF" w:themeColor="background1"/>
              </w:rPr>
              <w:t>Applied General Qualifications</w:t>
            </w:r>
          </w:p>
        </w:tc>
        <w:tc>
          <w:tcPr>
            <w:tcW w:w="992" w:type="dxa"/>
            <w:shd w:val="clear" w:color="auto" w:fill="00ACE9"/>
          </w:tcPr>
          <w:p w:rsidR="007B7CDF" w:rsidRPr="008E2ACA" w:rsidRDefault="007B7CDF" w:rsidP="005A49A9">
            <w:pPr>
              <w:spacing w:after="0"/>
              <w:jc w:val="center"/>
              <w:rPr>
                <w:rFonts w:ascii="Arial" w:hAnsi="Arial" w:cs="Arial"/>
                <w:b/>
                <w:color w:val="FFFFFF" w:themeColor="background1"/>
              </w:rPr>
            </w:pPr>
            <w:r w:rsidRPr="008E2ACA">
              <w:rPr>
                <w:rFonts w:ascii="Arial" w:hAnsi="Arial" w:cs="Arial"/>
                <w:b/>
                <w:color w:val="FFFFFF" w:themeColor="background1"/>
              </w:rPr>
              <w:t>Tech Levels</w:t>
            </w:r>
          </w:p>
        </w:tc>
        <w:tc>
          <w:tcPr>
            <w:tcW w:w="1418" w:type="dxa"/>
            <w:shd w:val="clear" w:color="auto" w:fill="00ACE9"/>
          </w:tcPr>
          <w:p w:rsidR="007B7CDF" w:rsidRPr="008E2ACA" w:rsidRDefault="007B7CDF" w:rsidP="005A49A9">
            <w:pPr>
              <w:spacing w:after="0"/>
              <w:jc w:val="center"/>
              <w:rPr>
                <w:rFonts w:ascii="Arial" w:hAnsi="Arial" w:cs="Arial"/>
                <w:b/>
                <w:color w:val="FFFFFF" w:themeColor="background1"/>
              </w:rPr>
            </w:pPr>
            <w:r w:rsidRPr="008E2ACA">
              <w:rPr>
                <w:rFonts w:ascii="Arial" w:hAnsi="Arial" w:cs="Arial"/>
                <w:b/>
                <w:color w:val="FFFFFF" w:themeColor="background1"/>
              </w:rPr>
              <w:t>Technical Certificates</w:t>
            </w:r>
          </w:p>
        </w:tc>
        <w:tc>
          <w:tcPr>
            <w:tcW w:w="1701" w:type="dxa"/>
            <w:shd w:val="clear" w:color="auto" w:fill="00ACE9"/>
          </w:tcPr>
          <w:p w:rsidR="007B7CDF" w:rsidRPr="008E2ACA" w:rsidRDefault="007B7CDF" w:rsidP="005A49A9">
            <w:pPr>
              <w:spacing w:after="0"/>
              <w:jc w:val="center"/>
              <w:rPr>
                <w:rFonts w:ascii="Arial" w:hAnsi="Arial" w:cs="Arial"/>
                <w:b/>
                <w:color w:val="FFFFFF" w:themeColor="background1"/>
              </w:rPr>
            </w:pPr>
            <w:r w:rsidRPr="008E2ACA">
              <w:rPr>
                <w:rFonts w:ascii="Arial" w:hAnsi="Arial" w:cs="Arial"/>
                <w:b/>
                <w:color w:val="FFFFFF" w:themeColor="background1"/>
              </w:rPr>
              <w:t>L2 Vocational Qualifications</w:t>
            </w:r>
          </w:p>
        </w:tc>
      </w:tr>
      <w:tr w:rsidR="007B7CDF" w:rsidRPr="006E2242" w:rsidTr="005A49A9">
        <w:tc>
          <w:tcPr>
            <w:tcW w:w="1545" w:type="dxa"/>
            <w:shd w:val="clear" w:color="auto" w:fill="575756"/>
          </w:tcPr>
          <w:p w:rsidR="007B7CDF" w:rsidRPr="004C1F11" w:rsidRDefault="007B7CDF" w:rsidP="005A49A9">
            <w:pPr>
              <w:spacing w:after="0"/>
              <w:rPr>
                <w:rFonts w:ascii="Arial" w:hAnsi="Arial" w:cs="Arial"/>
                <w:color w:val="FFFFFF" w:themeColor="background1"/>
              </w:rPr>
            </w:pPr>
            <w:r w:rsidRPr="004C1F11">
              <w:rPr>
                <w:rFonts w:ascii="Arial" w:hAnsi="Arial" w:cs="Arial"/>
                <w:color w:val="FFFFFF" w:themeColor="background1"/>
              </w:rPr>
              <w:t>Lancashire</w:t>
            </w:r>
          </w:p>
        </w:tc>
        <w:tc>
          <w:tcPr>
            <w:tcW w:w="992" w:type="dxa"/>
            <w:shd w:val="clear" w:color="auto" w:fill="575756"/>
          </w:tcPr>
          <w:p w:rsidR="007B7CDF" w:rsidRPr="000171E4" w:rsidRDefault="007B7CDF" w:rsidP="000171E4">
            <w:pPr>
              <w:pStyle w:val="ListParagraph"/>
              <w:spacing w:after="0"/>
              <w:ind w:left="0"/>
              <w:jc w:val="center"/>
              <w:rPr>
                <w:rFonts w:ascii="Arial" w:hAnsi="Arial" w:cs="Arial"/>
                <w:color w:val="FFFFFF" w:themeColor="background1"/>
                <w:sz w:val="24"/>
                <w:szCs w:val="24"/>
              </w:rPr>
            </w:pPr>
            <w:r w:rsidRPr="000171E4">
              <w:rPr>
                <w:rFonts w:ascii="Arial" w:hAnsi="Arial" w:cs="Arial"/>
                <w:color w:val="FFFFFF" w:themeColor="background1"/>
                <w:sz w:val="24"/>
                <w:szCs w:val="24"/>
              </w:rPr>
              <w:t>9</w:t>
            </w:r>
            <w:r w:rsidR="000171E4" w:rsidRPr="000171E4">
              <w:rPr>
                <w:rFonts w:ascii="Arial" w:hAnsi="Arial" w:cs="Arial"/>
                <w:color w:val="FFFFFF" w:themeColor="background1"/>
                <w:sz w:val="24"/>
                <w:szCs w:val="24"/>
              </w:rPr>
              <w:t>2.3</w:t>
            </w:r>
            <w:r w:rsidRPr="000171E4">
              <w:rPr>
                <w:rFonts w:ascii="Arial" w:hAnsi="Arial" w:cs="Arial"/>
                <w:color w:val="FFFFFF" w:themeColor="background1"/>
                <w:sz w:val="24"/>
                <w:szCs w:val="24"/>
              </w:rPr>
              <w:t>%</w:t>
            </w:r>
          </w:p>
        </w:tc>
        <w:tc>
          <w:tcPr>
            <w:tcW w:w="1701" w:type="dxa"/>
            <w:shd w:val="clear" w:color="auto" w:fill="575756"/>
          </w:tcPr>
          <w:p w:rsidR="007B7CDF" w:rsidRPr="000171E4" w:rsidRDefault="007B7CDF" w:rsidP="000171E4">
            <w:pPr>
              <w:pStyle w:val="ListParagraph"/>
              <w:spacing w:after="0"/>
              <w:ind w:left="0"/>
              <w:jc w:val="center"/>
              <w:rPr>
                <w:rFonts w:ascii="Arial" w:hAnsi="Arial" w:cs="Arial"/>
                <w:color w:val="FFFFFF" w:themeColor="background1"/>
                <w:sz w:val="24"/>
                <w:szCs w:val="24"/>
              </w:rPr>
            </w:pPr>
            <w:r w:rsidRPr="000171E4">
              <w:rPr>
                <w:rFonts w:ascii="Arial" w:hAnsi="Arial" w:cs="Arial"/>
                <w:color w:val="FFFFFF" w:themeColor="background1"/>
                <w:sz w:val="24"/>
                <w:szCs w:val="24"/>
              </w:rPr>
              <w:t>9</w:t>
            </w:r>
            <w:r w:rsidR="000171E4" w:rsidRPr="000171E4">
              <w:rPr>
                <w:rFonts w:ascii="Arial" w:hAnsi="Arial" w:cs="Arial"/>
                <w:color w:val="FFFFFF" w:themeColor="background1"/>
                <w:sz w:val="24"/>
                <w:szCs w:val="24"/>
              </w:rPr>
              <w:t>2.3</w:t>
            </w:r>
            <w:r w:rsidRPr="000171E4">
              <w:rPr>
                <w:rFonts w:ascii="Arial" w:hAnsi="Arial" w:cs="Arial"/>
                <w:color w:val="FFFFFF" w:themeColor="background1"/>
                <w:sz w:val="24"/>
                <w:szCs w:val="24"/>
              </w:rPr>
              <w:t>%</w:t>
            </w:r>
          </w:p>
        </w:tc>
        <w:tc>
          <w:tcPr>
            <w:tcW w:w="1701" w:type="dxa"/>
            <w:shd w:val="clear" w:color="auto" w:fill="575756"/>
          </w:tcPr>
          <w:p w:rsidR="007B7CDF" w:rsidRPr="000171E4" w:rsidRDefault="000171E4" w:rsidP="000171E4">
            <w:pPr>
              <w:pStyle w:val="ListParagraph"/>
              <w:spacing w:after="0"/>
              <w:ind w:left="0"/>
              <w:jc w:val="center"/>
              <w:rPr>
                <w:rFonts w:ascii="Arial" w:hAnsi="Arial" w:cs="Arial"/>
                <w:color w:val="FFFFFF" w:themeColor="background1"/>
                <w:sz w:val="24"/>
                <w:szCs w:val="24"/>
              </w:rPr>
            </w:pPr>
            <w:r w:rsidRPr="000171E4">
              <w:rPr>
                <w:rFonts w:ascii="Arial" w:hAnsi="Arial" w:cs="Arial"/>
                <w:color w:val="FFFFFF" w:themeColor="background1"/>
                <w:sz w:val="24"/>
                <w:szCs w:val="24"/>
              </w:rPr>
              <w:t>89.9</w:t>
            </w:r>
            <w:r w:rsidR="007B7CDF" w:rsidRPr="000171E4">
              <w:rPr>
                <w:rFonts w:ascii="Arial" w:hAnsi="Arial" w:cs="Arial"/>
                <w:color w:val="FFFFFF" w:themeColor="background1"/>
                <w:sz w:val="24"/>
                <w:szCs w:val="24"/>
              </w:rPr>
              <w:t>%</w:t>
            </w:r>
          </w:p>
        </w:tc>
        <w:tc>
          <w:tcPr>
            <w:tcW w:w="992" w:type="dxa"/>
            <w:shd w:val="clear" w:color="auto" w:fill="575756"/>
          </w:tcPr>
          <w:p w:rsidR="007B7CDF" w:rsidRPr="000171E4" w:rsidRDefault="007B7CDF" w:rsidP="000171E4">
            <w:pPr>
              <w:pStyle w:val="ListParagraph"/>
              <w:spacing w:after="0"/>
              <w:ind w:left="0"/>
              <w:jc w:val="center"/>
              <w:rPr>
                <w:rFonts w:ascii="Arial" w:hAnsi="Arial" w:cs="Arial"/>
                <w:color w:val="FFFFFF" w:themeColor="background1"/>
                <w:sz w:val="24"/>
                <w:szCs w:val="24"/>
              </w:rPr>
            </w:pPr>
            <w:r w:rsidRPr="000171E4">
              <w:rPr>
                <w:rFonts w:ascii="Arial" w:hAnsi="Arial" w:cs="Arial"/>
                <w:color w:val="FFFFFF" w:themeColor="background1"/>
                <w:sz w:val="24"/>
                <w:szCs w:val="24"/>
              </w:rPr>
              <w:t>9</w:t>
            </w:r>
            <w:r w:rsidR="000171E4" w:rsidRPr="000171E4">
              <w:rPr>
                <w:rFonts w:ascii="Arial" w:hAnsi="Arial" w:cs="Arial"/>
                <w:color w:val="FFFFFF" w:themeColor="background1"/>
                <w:sz w:val="24"/>
                <w:szCs w:val="24"/>
              </w:rPr>
              <w:t>4.1</w:t>
            </w:r>
            <w:r w:rsidRPr="000171E4">
              <w:rPr>
                <w:rFonts w:ascii="Arial" w:hAnsi="Arial" w:cs="Arial"/>
                <w:color w:val="FFFFFF" w:themeColor="background1"/>
                <w:sz w:val="24"/>
                <w:szCs w:val="24"/>
              </w:rPr>
              <w:t>%</w:t>
            </w:r>
          </w:p>
        </w:tc>
        <w:tc>
          <w:tcPr>
            <w:tcW w:w="1418" w:type="dxa"/>
            <w:shd w:val="clear" w:color="auto" w:fill="575756"/>
          </w:tcPr>
          <w:p w:rsidR="007B7CDF" w:rsidRPr="000171E4" w:rsidRDefault="007B7CDF" w:rsidP="000171E4">
            <w:pPr>
              <w:pStyle w:val="ListParagraph"/>
              <w:spacing w:after="0"/>
              <w:ind w:left="0"/>
              <w:jc w:val="center"/>
              <w:rPr>
                <w:rFonts w:ascii="Arial" w:hAnsi="Arial" w:cs="Arial"/>
                <w:color w:val="FFFFFF" w:themeColor="background1"/>
                <w:sz w:val="24"/>
                <w:szCs w:val="24"/>
              </w:rPr>
            </w:pPr>
            <w:r w:rsidRPr="000171E4">
              <w:rPr>
                <w:rFonts w:ascii="Arial" w:hAnsi="Arial" w:cs="Arial"/>
                <w:color w:val="FFFFFF" w:themeColor="background1"/>
                <w:sz w:val="24"/>
                <w:szCs w:val="24"/>
              </w:rPr>
              <w:t>8</w:t>
            </w:r>
            <w:r w:rsidR="000171E4" w:rsidRPr="000171E4">
              <w:rPr>
                <w:rFonts w:ascii="Arial" w:hAnsi="Arial" w:cs="Arial"/>
                <w:color w:val="FFFFFF" w:themeColor="background1"/>
                <w:sz w:val="24"/>
                <w:szCs w:val="24"/>
              </w:rPr>
              <w:t>8.1</w:t>
            </w:r>
            <w:r w:rsidRPr="000171E4">
              <w:rPr>
                <w:rFonts w:ascii="Arial" w:hAnsi="Arial" w:cs="Arial"/>
                <w:color w:val="FFFFFF" w:themeColor="background1"/>
                <w:sz w:val="24"/>
                <w:szCs w:val="24"/>
              </w:rPr>
              <w:t>%</w:t>
            </w:r>
          </w:p>
        </w:tc>
        <w:tc>
          <w:tcPr>
            <w:tcW w:w="1701" w:type="dxa"/>
            <w:shd w:val="clear" w:color="auto" w:fill="575756"/>
          </w:tcPr>
          <w:p w:rsidR="007B7CDF" w:rsidRPr="000171E4" w:rsidRDefault="007B7CDF" w:rsidP="000171E4">
            <w:pPr>
              <w:pStyle w:val="ListParagraph"/>
              <w:spacing w:after="0"/>
              <w:ind w:left="0"/>
              <w:jc w:val="center"/>
              <w:rPr>
                <w:rFonts w:ascii="Arial" w:hAnsi="Arial" w:cs="Arial"/>
                <w:color w:val="FFFFFF" w:themeColor="background1"/>
                <w:sz w:val="24"/>
                <w:szCs w:val="24"/>
              </w:rPr>
            </w:pPr>
            <w:r w:rsidRPr="000171E4">
              <w:rPr>
                <w:rFonts w:ascii="Arial" w:hAnsi="Arial" w:cs="Arial"/>
                <w:color w:val="FFFFFF" w:themeColor="background1"/>
                <w:sz w:val="24"/>
                <w:szCs w:val="24"/>
              </w:rPr>
              <w:t>8</w:t>
            </w:r>
            <w:r w:rsidR="000171E4" w:rsidRPr="000171E4">
              <w:rPr>
                <w:rFonts w:ascii="Arial" w:hAnsi="Arial" w:cs="Arial"/>
                <w:color w:val="FFFFFF" w:themeColor="background1"/>
                <w:sz w:val="24"/>
                <w:szCs w:val="24"/>
              </w:rPr>
              <w:t>8.6</w:t>
            </w:r>
            <w:r w:rsidRPr="000171E4">
              <w:rPr>
                <w:rFonts w:ascii="Arial" w:hAnsi="Arial" w:cs="Arial"/>
                <w:color w:val="FFFFFF" w:themeColor="background1"/>
                <w:sz w:val="24"/>
                <w:szCs w:val="24"/>
              </w:rPr>
              <w:t>%</w:t>
            </w:r>
          </w:p>
        </w:tc>
      </w:tr>
      <w:tr w:rsidR="007B7CDF" w:rsidRPr="006E2242" w:rsidTr="005809E3">
        <w:tc>
          <w:tcPr>
            <w:tcW w:w="1545" w:type="dxa"/>
            <w:shd w:val="clear" w:color="auto" w:fill="E0E0E0"/>
          </w:tcPr>
          <w:p w:rsidR="007B7CDF" w:rsidRPr="004C1F11" w:rsidRDefault="007B7CDF" w:rsidP="005A49A9">
            <w:pPr>
              <w:spacing w:after="0"/>
              <w:rPr>
                <w:rFonts w:ascii="Arial" w:hAnsi="Arial" w:cs="Arial"/>
              </w:rPr>
            </w:pPr>
            <w:r w:rsidRPr="004C1F11">
              <w:rPr>
                <w:rFonts w:ascii="Arial" w:hAnsi="Arial" w:cs="Arial"/>
              </w:rPr>
              <w:t>State-funded Schools and Colleges</w:t>
            </w:r>
          </w:p>
        </w:tc>
        <w:tc>
          <w:tcPr>
            <w:tcW w:w="992" w:type="dxa"/>
            <w:shd w:val="clear" w:color="auto" w:fill="E0E0E0"/>
          </w:tcPr>
          <w:p w:rsidR="007B7CDF" w:rsidRPr="000171E4" w:rsidRDefault="007B7CDF" w:rsidP="000171E4">
            <w:pPr>
              <w:pStyle w:val="ListParagraph"/>
              <w:spacing w:after="0"/>
              <w:ind w:left="0"/>
              <w:jc w:val="center"/>
              <w:rPr>
                <w:rFonts w:ascii="Arial" w:hAnsi="Arial" w:cs="Arial"/>
                <w:sz w:val="24"/>
                <w:szCs w:val="24"/>
              </w:rPr>
            </w:pPr>
            <w:r w:rsidRPr="000171E4">
              <w:rPr>
                <w:rFonts w:ascii="Arial" w:hAnsi="Arial" w:cs="Arial"/>
                <w:sz w:val="24"/>
                <w:szCs w:val="24"/>
              </w:rPr>
              <w:t>9</w:t>
            </w:r>
            <w:r w:rsidR="000171E4" w:rsidRPr="000171E4">
              <w:rPr>
                <w:rFonts w:ascii="Arial" w:hAnsi="Arial" w:cs="Arial"/>
                <w:sz w:val="24"/>
                <w:szCs w:val="24"/>
              </w:rPr>
              <w:t>2.5</w:t>
            </w:r>
            <w:r w:rsidRPr="000171E4">
              <w:rPr>
                <w:rFonts w:ascii="Arial" w:hAnsi="Arial" w:cs="Arial"/>
                <w:sz w:val="24"/>
                <w:szCs w:val="24"/>
              </w:rPr>
              <w:t>%</w:t>
            </w:r>
          </w:p>
        </w:tc>
        <w:tc>
          <w:tcPr>
            <w:tcW w:w="1701" w:type="dxa"/>
            <w:shd w:val="clear" w:color="auto" w:fill="E0E0E0"/>
          </w:tcPr>
          <w:p w:rsidR="007B7CDF" w:rsidRPr="000171E4" w:rsidRDefault="007B7CDF" w:rsidP="000171E4">
            <w:pPr>
              <w:pStyle w:val="ListParagraph"/>
              <w:spacing w:after="0"/>
              <w:ind w:left="0"/>
              <w:jc w:val="center"/>
              <w:rPr>
                <w:rFonts w:ascii="Arial" w:hAnsi="Arial" w:cs="Arial"/>
                <w:sz w:val="24"/>
                <w:szCs w:val="24"/>
              </w:rPr>
            </w:pPr>
            <w:r w:rsidRPr="000171E4">
              <w:rPr>
                <w:rFonts w:ascii="Arial" w:hAnsi="Arial" w:cs="Arial"/>
                <w:sz w:val="24"/>
                <w:szCs w:val="24"/>
              </w:rPr>
              <w:t>9</w:t>
            </w:r>
            <w:r w:rsidR="000171E4" w:rsidRPr="000171E4">
              <w:rPr>
                <w:rFonts w:ascii="Arial" w:hAnsi="Arial" w:cs="Arial"/>
                <w:sz w:val="24"/>
                <w:szCs w:val="24"/>
              </w:rPr>
              <w:t>2.4</w:t>
            </w:r>
            <w:r w:rsidRPr="000171E4">
              <w:rPr>
                <w:rFonts w:ascii="Arial" w:hAnsi="Arial" w:cs="Arial"/>
                <w:sz w:val="24"/>
                <w:szCs w:val="24"/>
              </w:rPr>
              <w:t>%</w:t>
            </w:r>
          </w:p>
        </w:tc>
        <w:tc>
          <w:tcPr>
            <w:tcW w:w="1701" w:type="dxa"/>
            <w:shd w:val="clear" w:color="auto" w:fill="E0E0E0"/>
          </w:tcPr>
          <w:p w:rsidR="007B7CDF" w:rsidRPr="000171E4" w:rsidRDefault="000171E4" w:rsidP="000171E4">
            <w:pPr>
              <w:pStyle w:val="ListParagraph"/>
              <w:spacing w:after="0"/>
              <w:ind w:left="0"/>
              <w:jc w:val="center"/>
              <w:rPr>
                <w:rFonts w:ascii="Arial" w:hAnsi="Arial" w:cs="Arial"/>
                <w:sz w:val="24"/>
                <w:szCs w:val="24"/>
              </w:rPr>
            </w:pPr>
            <w:r w:rsidRPr="000171E4">
              <w:rPr>
                <w:rFonts w:ascii="Arial" w:hAnsi="Arial" w:cs="Arial"/>
                <w:sz w:val="24"/>
                <w:szCs w:val="24"/>
              </w:rPr>
              <w:t>90.4</w:t>
            </w:r>
            <w:r w:rsidR="007B7CDF" w:rsidRPr="000171E4">
              <w:rPr>
                <w:rFonts w:ascii="Arial" w:hAnsi="Arial" w:cs="Arial"/>
                <w:sz w:val="24"/>
                <w:szCs w:val="24"/>
              </w:rPr>
              <w:t>%</w:t>
            </w:r>
          </w:p>
        </w:tc>
        <w:tc>
          <w:tcPr>
            <w:tcW w:w="992" w:type="dxa"/>
            <w:shd w:val="clear" w:color="auto" w:fill="E0E0E0"/>
          </w:tcPr>
          <w:p w:rsidR="007B7CDF" w:rsidRPr="000171E4" w:rsidRDefault="007B7CDF" w:rsidP="000171E4">
            <w:pPr>
              <w:pStyle w:val="ListParagraph"/>
              <w:spacing w:after="0"/>
              <w:ind w:left="0"/>
              <w:jc w:val="center"/>
              <w:rPr>
                <w:rFonts w:ascii="Arial" w:hAnsi="Arial" w:cs="Arial"/>
                <w:sz w:val="24"/>
                <w:szCs w:val="24"/>
              </w:rPr>
            </w:pPr>
            <w:r w:rsidRPr="000171E4">
              <w:rPr>
                <w:rFonts w:ascii="Arial" w:hAnsi="Arial" w:cs="Arial"/>
                <w:sz w:val="24"/>
                <w:szCs w:val="24"/>
              </w:rPr>
              <w:t>90.</w:t>
            </w:r>
            <w:r w:rsidR="000171E4" w:rsidRPr="000171E4">
              <w:rPr>
                <w:rFonts w:ascii="Arial" w:hAnsi="Arial" w:cs="Arial"/>
                <w:sz w:val="24"/>
                <w:szCs w:val="24"/>
              </w:rPr>
              <w:t>6</w:t>
            </w:r>
            <w:r w:rsidRPr="000171E4">
              <w:rPr>
                <w:rFonts w:ascii="Arial" w:hAnsi="Arial" w:cs="Arial"/>
                <w:sz w:val="24"/>
                <w:szCs w:val="24"/>
              </w:rPr>
              <w:t>%</w:t>
            </w:r>
          </w:p>
        </w:tc>
        <w:tc>
          <w:tcPr>
            <w:tcW w:w="1418" w:type="dxa"/>
            <w:shd w:val="clear" w:color="auto" w:fill="E0E0E0"/>
          </w:tcPr>
          <w:p w:rsidR="007B7CDF" w:rsidRPr="000171E4" w:rsidRDefault="007B7CDF" w:rsidP="000171E4">
            <w:pPr>
              <w:pStyle w:val="ListParagraph"/>
              <w:spacing w:after="0"/>
              <w:ind w:left="0"/>
              <w:jc w:val="center"/>
              <w:rPr>
                <w:rFonts w:ascii="Arial" w:hAnsi="Arial" w:cs="Arial"/>
                <w:sz w:val="24"/>
                <w:szCs w:val="24"/>
              </w:rPr>
            </w:pPr>
            <w:r w:rsidRPr="000171E4">
              <w:rPr>
                <w:rFonts w:ascii="Arial" w:hAnsi="Arial" w:cs="Arial"/>
                <w:sz w:val="24"/>
                <w:szCs w:val="24"/>
              </w:rPr>
              <w:t>8</w:t>
            </w:r>
            <w:r w:rsidR="000171E4" w:rsidRPr="000171E4">
              <w:rPr>
                <w:rFonts w:ascii="Arial" w:hAnsi="Arial" w:cs="Arial"/>
                <w:sz w:val="24"/>
                <w:szCs w:val="24"/>
              </w:rPr>
              <w:t>8</w:t>
            </w:r>
            <w:r w:rsidRPr="000171E4">
              <w:rPr>
                <w:rFonts w:ascii="Arial" w:hAnsi="Arial" w:cs="Arial"/>
                <w:sz w:val="24"/>
                <w:szCs w:val="24"/>
              </w:rPr>
              <w:t>.3%</w:t>
            </w:r>
          </w:p>
        </w:tc>
        <w:tc>
          <w:tcPr>
            <w:tcW w:w="1701" w:type="dxa"/>
            <w:shd w:val="clear" w:color="auto" w:fill="E0E0E0"/>
          </w:tcPr>
          <w:p w:rsidR="007B7CDF" w:rsidRPr="000171E4" w:rsidRDefault="007B7CDF" w:rsidP="000171E4">
            <w:pPr>
              <w:pStyle w:val="ListParagraph"/>
              <w:spacing w:after="0"/>
              <w:ind w:left="0"/>
              <w:jc w:val="center"/>
              <w:rPr>
                <w:rFonts w:ascii="Arial" w:hAnsi="Arial" w:cs="Arial"/>
                <w:sz w:val="24"/>
                <w:szCs w:val="24"/>
              </w:rPr>
            </w:pPr>
            <w:r w:rsidRPr="000171E4">
              <w:rPr>
                <w:rFonts w:ascii="Arial" w:hAnsi="Arial" w:cs="Arial"/>
                <w:sz w:val="24"/>
                <w:szCs w:val="24"/>
              </w:rPr>
              <w:t>8</w:t>
            </w:r>
            <w:r w:rsidR="000171E4" w:rsidRPr="000171E4">
              <w:rPr>
                <w:rFonts w:ascii="Arial" w:hAnsi="Arial" w:cs="Arial"/>
                <w:sz w:val="24"/>
                <w:szCs w:val="24"/>
              </w:rPr>
              <w:t>8.3</w:t>
            </w:r>
            <w:r w:rsidRPr="000171E4">
              <w:rPr>
                <w:rFonts w:ascii="Arial" w:hAnsi="Arial" w:cs="Arial"/>
                <w:sz w:val="24"/>
                <w:szCs w:val="24"/>
              </w:rPr>
              <w:t>%</w:t>
            </w:r>
          </w:p>
        </w:tc>
      </w:tr>
    </w:tbl>
    <w:p w:rsidR="007B7CDF" w:rsidRPr="000171E4" w:rsidRDefault="007B7CDF" w:rsidP="007B7CDF">
      <w:pPr>
        <w:spacing w:after="0"/>
        <w:rPr>
          <w:rFonts w:ascii="Arial" w:eastAsia="Cambria" w:hAnsi="Arial" w:cs="Arial"/>
          <w:sz w:val="24"/>
          <w:szCs w:val="24"/>
          <w:lang w:eastAsia="en-GB"/>
        </w:rPr>
      </w:pPr>
    </w:p>
    <w:p w:rsidR="007B7CDF" w:rsidRPr="000171E4" w:rsidRDefault="007B7CDF" w:rsidP="007B7CDF">
      <w:pPr>
        <w:numPr>
          <w:ilvl w:val="0"/>
          <w:numId w:val="27"/>
        </w:numPr>
        <w:autoSpaceDE w:val="0"/>
        <w:autoSpaceDN w:val="0"/>
        <w:adjustRightInd w:val="0"/>
        <w:spacing w:after="0" w:line="240" w:lineRule="auto"/>
        <w:rPr>
          <w:rFonts w:ascii="Arial" w:hAnsi="Arial" w:cs="Arial"/>
          <w:sz w:val="24"/>
          <w:szCs w:val="24"/>
        </w:rPr>
      </w:pPr>
      <w:r w:rsidRPr="000171E4">
        <w:rPr>
          <w:rFonts w:ascii="Arial" w:hAnsi="Arial" w:cs="Arial"/>
          <w:sz w:val="24"/>
          <w:szCs w:val="24"/>
        </w:rPr>
        <w:t xml:space="preserve">The percentage of Lancashire residents being retained on </w:t>
      </w:r>
      <w:r w:rsidR="000171E4" w:rsidRPr="000171E4">
        <w:rPr>
          <w:rFonts w:ascii="Arial" w:hAnsi="Arial" w:cs="Arial"/>
          <w:sz w:val="24"/>
          <w:szCs w:val="24"/>
        </w:rPr>
        <w:t xml:space="preserve">Tech Levels </w:t>
      </w:r>
      <w:r w:rsidRPr="000171E4">
        <w:rPr>
          <w:rFonts w:ascii="Arial" w:hAnsi="Arial" w:cs="Arial"/>
          <w:sz w:val="24"/>
          <w:szCs w:val="24"/>
        </w:rPr>
        <w:t xml:space="preserve">is higher than state-funded schools and colleges overall </w:t>
      </w:r>
    </w:p>
    <w:p w:rsidR="000171E4" w:rsidRPr="000171E4" w:rsidRDefault="000171E4" w:rsidP="000171E4">
      <w:pPr>
        <w:numPr>
          <w:ilvl w:val="0"/>
          <w:numId w:val="27"/>
        </w:numPr>
        <w:autoSpaceDE w:val="0"/>
        <w:autoSpaceDN w:val="0"/>
        <w:adjustRightInd w:val="0"/>
        <w:spacing w:after="0" w:line="240" w:lineRule="auto"/>
        <w:rPr>
          <w:rFonts w:ascii="Arial" w:hAnsi="Arial" w:cs="Arial"/>
          <w:sz w:val="24"/>
          <w:szCs w:val="24"/>
        </w:rPr>
      </w:pPr>
      <w:r w:rsidRPr="000171E4">
        <w:rPr>
          <w:rFonts w:ascii="Arial" w:hAnsi="Arial" w:cs="Arial"/>
          <w:sz w:val="24"/>
          <w:szCs w:val="24"/>
        </w:rPr>
        <w:t xml:space="preserve">The percentage of Lancashire residents being retained on Applied General qualifications is lower than state-funded schools and colleges overall </w:t>
      </w:r>
    </w:p>
    <w:p w:rsidR="007B7CDF" w:rsidRPr="000171E4" w:rsidRDefault="007B7CDF" w:rsidP="007B7CDF">
      <w:pPr>
        <w:numPr>
          <w:ilvl w:val="0"/>
          <w:numId w:val="27"/>
        </w:numPr>
        <w:autoSpaceDE w:val="0"/>
        <w:autoSpaceDN w:val="0"/>
        <w:adjustRightInd w:val="0"/>
        <w:spacing w:after="0" w:line="240" w:lineRule="auto"/>
        <w:rPr>
          <w:rFonts w:ascii="Arial" w:hAnsi="Arial" w:cs="Arial"/>
          <w:sz w:val="24"/>
          <w:szCs w:val="24"/>
        </w:rPr>
      </w:pPr>
      <w:r w:rsidRPr="000171E4">
        <w:rPr>
          <w:rFonts w:ascii="Arial" w:hAnsi="Arial" w:cs="Arial"/>
          <w:sz w:val="24"/>
          <w:szCs w:val="24"/>
        </w:rPr>
        <w:t xml:space="preserve">The percentage of Lancashire residents being retained on all other qualification types is </w:t>
      </w:r>
      <w:r w:rsidR="000171E4" w:rsidRPr="000171E4">
        <w:rPr>
          <w:rFonts w:ascii="Arial" w:hAnsi="Arial" w:cs="Arial"/>
          <w:sz w:val="24"/>
          <w:szCs w:val="24"/>
        </w:rPr>
        <w:t xml:space="preserve">in line with </w:t>
      </w:r>
      <w:r w:rsidRPr="000171E4">
        <w:rPr>
          <w:rFonts w:ascii="Arial" w:hAnsi="Arial" w:cs="Arial"/>
          <w:sz w:val="24"/>
          <w:szCs w:val="24"/>
        </w:rPr>
        <w:t xml:space="preserve">state-funded schools and colleges overall </w:t>
      </w:r>
    </w:p>
    <w:p w:rsidR="007B7CDF" w:rsidRPr="000171E4" w:rsidRDefault="007B7CDF" w:rsidP="007B7CDF">
      <w:pPr>
        <w:spacing w:after="0"/>
        <w:rPr>
          <w:rFonts w:ascii="Arial" w:hAnsi="Arial" w:cs="Arial"/>
          <w:sz w:val="24"/>
          <w:szCs w:val="24"/>
        </w:rPr>
      </w:pPr>
    </w:p>
    <w:p w:rsidR="00B7513E" w:rsidRDefault="00B7513E">
      <w:pPr>
        <w:rPr>
          <w:rFonts w:ascii="Arial" w:eastAsia="Cambria" w:hAnsi="Arial" w:cs="Arial"/>
          <w:b/>
          <w:bCs/>
          <w:sz w:val="24"/>
          <w:szCs w:val="24"/>
          <w:lang w:eastAsia="en-GB"/>
        </w:rPr>
      </w:pPr>
      <w:r>
        <w:rPr>
          <w:rFonts w:ascii="Arial" w:eastAsia="Cambria" w:hAnsi="Arial" w:cs="Arial"/>
          <w:b/>
          <w:bCs/>
          <w:sz w:val="24"/>
          <w:szCs w:val="24"/>
          <w:lang w:eastAsia="en-GB"/>
        </w:rPr>
        <w:br w:type="page"/>
      </w:r>
    </w:p>
    <w:p w:rsidR="007B7CDF" w:rsidRPr="003C7A5A" w:rsidRDefault="007B7CDF" w:rsidP="00C622DD">
      <w:pPr>
        <w:spacing w:after="0" w:line="240" w:lineRule="auto"/>
        <w:rPr>
          <w:rFonts w:ascii="Arial" w:hAnsi="Arial" w:cs="Arial"/>
          <w:sz w:val="24"/>
          <w:szCs w:val="24"/>
        </w:rPr>
      </w:pPr>
      <w:r w:rsidRPr="003C7A5A">
        <w:rPr>
          <w:rFonts w:ascii="Arial" w:eastAsia="Cambria" w:hAnsi="Arial" w:cs="Arial"/>
          <w:b/>
          <w:bCs/>
          <w:sz w:val="24"/>
          <w:szCs w:val="24"/>
          <w:lang w:eastAsia="en-GB"/>
        </w:rPr>
        <w:lastRenderedPageBreak/>
        <w:t>Destinations</w:t>
      </w:r>
      <w:r w:rsidRPr="003C7A5A">
        <w:rPr>
          <w:rFonts w:ascii="Arial" w:eastAsia="Cambria" w:hAnsi="Arial" w:cs="Arial"/>
          <w:bCs/>
          <w:sz w:val="24"/>
          <w:szCs w:val="24"/>
          <w:lang w:eastAsia="en-GB"/>
        </w:rPr>
        <w:t xml:space="preserve"> - </w:t>
      </w:r>
      <w:r w:rsidRPr="00007EF5">
        <w:rPr>
          <w:rFonts w:ascii="Arial" w:eastAsia="Cambria" w:hAnsi="Arial" w:cs="Arial"/>
          <w:sz w:val="24"/>
          <w:szCs w:val="24"/>
          <w:lang w:eastAsia="en-GB"/>
        </w:rPr>
        <w:t xml:space="preserve">shows the percentage of key stage 5 students entered for </w:t>
      </w:r>
      <w:proofErr w:type="gramStart"/>
      <w:r w:rsidRPr="00007EF5">
        <w:rPr>
          <w:rFonts w:ascii="Arial" w:eastAsia="Cambria" w:hAnsi="Arial" w:cs="Arial"/>
          <w:sz w:val="24"/>
          <w:szCs w:val="24"/>
          <w:lang w:eastAsia="en-GB"/>
        </w:rPr>
        <w:t>A</w:t>
      </w:r>
      <w:proofErr w:type="gramEnd"/>
      <w:r w:rsidRPr="00007EF5">
        <w:rPr>
          <w:rFonts w:ascii="Arial" w:eastAsia="Cambria" w:hAnsi="Arial" w:cs="Arial"/>
          <w:sz w:val="24"/>
          <w:szCs w:val="24"/>
          <w:lang w:eastAsia="en-GB"/>
        </w:rPr>
        <w:t xml:space="preserve"> levels or other level 3 qualifications during the academic year going to or remaining in an education and/or employment destination. The most recent data reports on students who left key stage 5 in the 201</w:t>
      </w:r>
      <w:r w:rsidR="0037154A" w:rsidRPr="00007EF5">
        <w:rPr>
          <w:rFonts w:ascii="Arial" w:eastAsia="Cambria" w:hAnsi="Arial" w:cs="Arial"/>
          <w:sz w:val="24"/>
          <w:szCs w:val="24"/>
          <w:lang w:eastAsia="en-GB"/>
        </w:rPr>
        <w:t>5/16</w:t>
      </w:r>
      <w:r w:rsidRPr="00007EF5">
        <w:rPr>
          <w:rFonts w:ascii="Arial" w:eastAsia="Cambria" w:hAnsi="Arial" w:cs="Arial"/>
          <w:sz w:val="24"/>
          <w:szCs w:val="24"/>
          <w:lang w:eastAsia="en-GB"/>
        </w:rPr>
        <w:t xml:space="preserve"> academic year and identifies their education and/or employment destinations in October to March of the 201</w:t>
      </w:r>
      <w:r w:rsidR="0037154A" w:rsidRPr="00007EF5">
        <w:rPr>
          <w:rFonts w:ascii="Arial" w:eastAsia="Cambria" w:hAnsi="Arial" w:cs="Arial"/>
          <w:sz w:val="24"/>
          <w:szCs w:val="24"/>
          <w:lang w:eastAsia="en-GB"/>
        </w:rPr>
        <w:t>6/17</w:t>
      </w:r>
      <w:r w:rsidRPr="00007EF5">
        <w:rPr>
          <w:rFonts w:ascii="Arial" w:eastAsia="Cambria" w:hAnsi="Arial" w:cs="Arial"/>
          <w:sz w:val="24"/>
          <w:szCs w:val="24"/>
          <w:lang w:eastAsia="en-GB"/>
        </w:rPr>
        <w:t xml:space="preserve"> academic year.  </w:t>
      </w:r>
      <w:r w:rsidRPr="003C7A5A">
        <w:rPr>
          <w:rFonts w:ascii="Arial" w:eastAsia="Cambria" w:hAnsi="Arial" w:cs="Arial"/>
          <w:sz w:val="24"/>
          <w:szCs w:val="24"/>
          <w:lang w:eastAsia="en-GB"/>
        </w:rPr>
        <w:t>A summary is shown in the table below:</w:t>
      </w:r>
    </w:p>
    <w:p w:rsidR="007B7CDF" w:rsidRPr="003C7A5A" w:rsidRDefault="007B7CDF" w:rsidP="00C622DD">
      <w:pPr>
        <w:pStyle w:val="ListParagraph"/>
        <w:spacing w:after="0" w:line="240" w:lineRule="auto"/>
        <w:ind w:left="0"/>
        <w:rPr>
          <w:rFonts w:ascii="Arial" w:hAnsi="Arial" w:cs="Arial"/>
          <w:sz w:val="24"/>
          <w:szCs w:val="24"/>
        </w:rPr>
      </w:pPr>
    </w:p>
    <w:tbl>
      <w:tblPr>
        <w:tblW w:w="0" w:type="auto"/>
        <w:tblLook w:val="04A0" w:firstRow="1" w:lastRow="0" w:firstColumn="1" w:lastColumn="0" w:noHBand="0" w:noVBand="1"/>
      </w:tblPr>
      <w:tblGrid>
        <w:gridCol w:w="2835"/>
        <w:gridCol w:w="6161"/>
      </w:tblGrid>
      <w:tr w:rsidR="008E2ACA" w:rsidRPr="008E2ACA" w:rsidTr="00915721">
        <w:tc>
          <w:tcPr>
            <w:tcW w:w="2835" w:type="dxa"/>
            <w:shd w:val="clear" w:color="auto" w:fill="00ACE9"/>
          </w:tcPr>
          <w:p w:rsidR="007B7CDF" w:rsidRPr="008E2ACA" w:rsidRDefault="007B7CDF" w:rsidP="005A49A9">
            <w:pPr>
              <w:pStyle w:val="ListParagraph"/>
              <w:spacing w:after="0"/>
              <w:ind w:left="0"/>
              <w:rPr>
                <w:rFonts w:ascii="Arial" w:hAnsi="Arial" w:cs="Arial"/>
                <w:b/>
                <w:color w:val="FFFFFF" w:themeColor="background1"/>
                <w:sz w:val="24"/>
                <w:szCs w:val="24"/>
              </w:rPr>
            </w:pPr>
          </w:p>
        </w:tc>
        <w:tc>
          <w:tcPr>
            <w:tcW w:w="6161" w:type="dxa"/>
            <w:shd w:val="clear" w:color="auto" w:fill="00ACE9"/>
          </w:tcPr>
          <w:p w:rsidR="007B7CDF" w:rsidRPr="008E2ACA" w:rsidRDefault="007B7CDF" w:rsidP="005A49A9">
            <w:pPr>
              <w:pStyle w:val="ListParagraph"/>
              <w:spacing w:after="0"/>
              <w:ind w:left="0"/>
              <w:jc w:val="center"/>
              <w:rPr>
                <w:rFonts w:ascii="Arial" w:hAnsi="Arial" w:cs="Arial"/>
                <w:b/>
                <w:color w:val="FFFFFF" w:themeColor="background1"/>
                <w:sz w:val="24"/>
                <w:szCs w:val="24"/>
              </w:rPr>
            </w:pPr>
            <w:r w:rsidRPr="008E2ACA">
              <w:rPr>
                <w:rFonts w:ascii="Arial" w:hAnsi="Arial" w:cs="Arial"/>
                <w:b/>
                <w:color w:val="FFFFFF" w:themeColor="background1"/>
                <w:sz w:val="24"/>
                <w:szCs w:val="24"/>
                <w:lang w:val="en"/>
              </w:rPr>
              <w:t>Students staying in education or employment for at least two terms after 16 to 18 study</w:t>
            </w:r>
          </w:p>
        </w:tc>
      </w:tr>
      <w:tr w:rsidR="007B7CDF" w:rsidRPr="00F00BE6" w:rsidTr="00915721">
        <w:tc>
          <w:tcPr>
            <w:tcW w:w="2835" w:type="dxa"/>
            <w:shd w:val="clear" w:color="auto" w:fill="575756"/>
          </w:tcPr>
          <w:p w:rsidR="007B7CDF" w:rsidRPr="004C1F11" w:rsidRDefault="007B7CDF" w:rsidP="005A49A9">
            <w:pPr>
              <w:spacing w:after="0"/>
              <w:rPr>
                <w:rFonts w:ascii="Arial" w:hAnsi="Arial" w:cs="Arial"/>
                <w:color w:val="FFFFFF" w:themeColor="background1"/>
                <w:sz w:val="24"/>
                <w:szCs w:val="24"/>
              </w:rPr>
            </w:pPr>
            <w:r w:rsidRPr="004C1F11">
              <w:rPr>
                <w:rFonts w:ascii="Arial" w:hAnsi="Arial" w:cs="Arial"/>
                <w:color w:val="FFFFFF" w:themeColor="background1"/>
                <w:sz w:val="24"/>
                <w:szCs w:val="24"/>
              </w:rPr>
              <w:t>Lancashire</w:t>
            </w:r>
          </w:p>
        </w:tc>
        <w:tc>
          <w:tcPr>
            <w:tcW w:w="6161" w:type="dxa"/>
            <w:shd w:val="clear" w:color="auto" w:fill="575756"/>
          </w:tcPr>
          <w:p w:rsidR="007B7CDF" w:rsidRPr="009B4CFB" w:rsidRDefault="007B7CDF" w:rsidP="005A49A9">
            <w:pPr>
              <w:pStyle w:val="ListParagraph"/>
              <w:spacing w:after="0"/>
              <w:ind w:left="0"/>
              <w:jc w:val="center"/>
              <w:rPr>
                <w:rFonts w:ascii="Arial" w:hAnsi="Arial" w:cs="Arial"/>
                <w:sz w:val="24"/>
                <w:szCs w:val="24"/>
              </w:rPr>
            </w:pPr>
            <w:r w:rsidRPr="004C1F11">
              <w:rPr>
                <w:rFonts w:ascii="Arial" w:hAnsi="Arial" w:cs="Arial"/>
                <w:color w:val="FFFFFF" w:themeColor="background1"/>
                <w:sz w:val="24"/>
                <w:szCs w:val="24"/>
              </w:rPr>
              <w:t>90%</w:t>
            </w:r>
          </w:p>
        </w:tc>
      </w:tr>
      <w:tr w:rsidR="007B7CDF" w:rsidRPr="00E26A40" w:rsidTr="005809E3">
        <w:tc>
          <w:tcPr>
            <w:tcW w:w="2835" w:type="dxa"/>
            <w:shd w:val="clear" w:color="auto" w:fill="E0E0E0"/>
          </w:tcPr>
          <w:p w:rsidR="007B7CDF" w:rsidRPr="004C1F11" w:rsidRDefault="007B7CDF" w:rsidP="005A49A9">
            <w:pPr>
              <w:spacing w:after="0"/>
              <w:rPr>
                <w:rFonts w:ascii="Arial" w:hAnsi="Arial" w:cs="Arial"/>
                <w:sz w:val="24"/>
                <w:szCs w:val="24"/>
              </w:rPr>
            </w:pPr>
            <w:r w:rsidRPr="004C1F11">
              <w:rPr>
                <w:rFonts w:ascii="Arial" w:hAnsi="Arial" w:cs="Arial"/>
                <w:sz w:val="24"/>
                <w:szCs w:val="24"/>
              </w:rPr>
              <w:t>State-funded Schools and Colleges</w:t>
            </w:r>
          </w:p>
        </w:tc>
        <w:tc>
          <w:tcPr>
            <w:tcW w:w="6161" w:type="dxa"/>
            <w:shd w:val="clear" w:color="auto" w:fill="E0E0E0"/>
          </w:tcPr>
          <w:p w:rsidR="007B7CDF" w:rsidRPr="009B4CFB" w:rsidRDefault="007B7CDF" w:rsidP="005A49A9">
            <w:pPr>
              <w:pStyle w:val="ListParagraph"/>
              <w:spacing w:after="0"/>
              <w:ind w:left="0"/>
              <w:jc w:val="center"/>
              <w:rPr>
                <w:rFonts w:ascii="Arial" w:hAnsi="Arial" w:cs="Arial"/>
                <w:sz w:val="24"/>
                <w:szCs w:val="24"/>
              </w:rPr>
            </w:pPr>
            <w:r w:rsidRPr="009B4CFB">
              <w:rPr>
                <w:rFonts w:ascii="Arial" w:hAnsi="Arial" w:cs="Arial"/>
                <w:sz w:val="24"/>
                <w:szCs w:val="24"/>
              </w:rPr>
              <w:t>89%</w:t>
            </w:r>
          </w:p>
        </w:tc>
      </w:tr>
    </w:tbl>
    <w:p w:rsidR="007B7CDF" w:rsidRPr="009B4CFB" w:rsidRDefault="007B7CDF" w:rsidP="007B7CDF">
      <w:pPr>
        <w:pStyle w:val="ListParagraph"/>
        <w:spacing w:after="0"/>
        <w:ind w:left="0"/>
        <w:rPr>
          <w:rFonts w:ascii="Arial" w:hAnsi="Arial" w:cs="Arial"/>
          <w:sz w:val="24"/>
          <w:szCs w:val="24"/>
        </w:rPr>
      </w:pPr>
    </w:p>
    <w:p w:rsidR="007B7CDF" w:rsidRPr="009B4CFB" w:rsidRDefault="007B7CDF" w:rsidP="007B7CDF">
      <w:pPr>
        <w:pStyle w:val="ListParagraph"/>
        <w:numPr>
          <w:ilvl w:val="0"/>
          <w:numId w:val="26"/>
        </w:numPr>
        <w:autoSpaceDE w:val="0"/>
        <w:autoSpaceDN w:val="0"/>
        <w:adjustRightInd w:val="0"/>
        <w:spacing w:after="0" w:line="240" w:lineRule="auto"/>
        <w:rPr>
          <w:rFonts w:ascii="Arial" w:hAnsi="Arial" w:cs="Arial"/>
          <w:sz w:val="24"/>
          <w:szCs w:val="24"/>
        </w:rPr>
      </w:pPr>
      <w:r w:rsidRPr="009B4CFB">
        <w:rPr>
          <w:rFonts w:ascii="Arial" w:hAnsi="Arial" w:cs="Arial"/>
          <w:sz w:val="24"/>
          <w:szCs w:val="24"/>
        </w:rPr>
        <w:t>The percentage of Lancashire residents progressing into a sustained education or employment destination continues to be marginally higher than state-funded schools and colleges overall</w:t>
      </w:r>
    </w:p>
    <w:p w:rsidR="007B7CDF" w:rsidRDefault="007B7CDF" w:rsidP="007B7CDF">
      <w:pPr>
        <w:spacing w:after="0" w:line="240" w:lineRule="auto"/>
        <w:rPr>
          <w:rFonts w:ascii="Arial" w:hAnsi="Arial" w:cs="Arial"/>
          <w:sz w:val="24"/>
          <w:szCs w:val="24"/>
        </w:rPr>
      </w:pPr>
    </w:p>
    <w:p w:rsidR="007B7CDF" w:rsidRDefault="007B7CDF" w:rsidP="007B7CDF">
      <w:pPr>
        <w:spacing w:after="0" w:line="240" w:lineRule="auto"/>
        <w:rPr>
          <w:rFonts w:ascii="Arial" w:hAnsi="Arial" w:cs="Arial"/>
          <w:sz w:val="24"/>
          <w:szCs w:val="24"/>
        </w:rPr>
      </w:pPr>
    </w:p>
    <w:p w:rsidR="007B7CDF" w:rsidRDefault="007B7CDF" w:rsidP="007B7CDF">
      <w:pPr>
        <w:spacing w:after="0" w:line="240" w:lineRule="auto"/>
        <w:rPr>
          <w:rFonts w:ascii="Arial" w:hAnsi="Arial" w:cs="Arial"/>
          <w:sz w:val="24"/>
          <w:szCs w:val="24"/>
        </w:rPr>
      </w:pPr>
    </w:p>
    <w:p w:rsidR="007B7CDF" w:rsidRDefault="007B7CDF" w:rsidP="007B7CDF">
      <w:pPr>
        <w:spacing w:after="0" w:line="240" w:lineRule="auto"/>
        <w:rPr>
          <w:rFonts w:ascii="Arial" w:hAnsi="Arial" w:cs="Arial"/>
          <w:sz w:val="24"/>
          <w:szCs w:val="24"/>
        </w:rPr>
      </w:pPr>
    </w:p>
    <w:p w:rsidR="007B7CDF" w:rsidRDefault="007B7CDF" w:rsidP="007B7CDF">
      <w:pPr>
        <w:spacing w:after="0" w:line="240" w:lineRule="auto"/>
        <w:rPr>
          <w:rFonts w:ascii="Arial" w:hAnsi="Arial" w:cs="Arial"/>
          <w:sz w:val="24"/>
          <w:szCs w:val="24"/>
        </w:rPr>
      </w:pPr>
    </w:p>
    <w:p w:rsidR="007B7CDF" w:rsidRPr="00B1442F" w:rsidRDefault="007B7CDF" w:rsidP="007B7CDF">
      <w:pPr>
        <w:spacing w:after="0" w:line="240" w:lineRule="auto"/>
        <w:rPr>
          <w:rFonts w:ascii="Arial" w:hAnsi="Arial" w:cs="Arial"/>
          <w:sz w:val="24"/>
          <w:szCs w:val="24"/>
        </w:rPr>
      </w:pPr>
    </w:p>
    <w:p w:rsidR="005440E9" w:rsidRPr="00B1442F" w:rsidRDefault="005440E9" w:rsidP="005809E3">
      <w:pPr>
        <w:spacing w:after="0" w:line="240" w:lineRule="auto"/>
        <w:rPr>
          <w:rFonts w:ascii="Arial" w:hAnsi="Arial" w:cs="Arial"/>
          <w:sz w:val="24"/>
          <w:szCs w:val="24"/>
        </w:rPr>
      </w:pPr>
    </w:p>
    <w:sectPr w:rsidR="005440E9" w:rsidRPr="00B1442F" w:rsidSect="00197C4B">
      <w:headerReference w:type="default" r:id="rId32"/>
      <w:footerReference w:type="default" r:id="rId33"/>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13A" w:rsidRDefault="0092213A" w:rsidP="00A8160B">
      <w:pPr>
        <w:spacing w:after="0" w:line="240" w:lineRule="auto"/>
      </w:pPr>
      <w:r>
        <w:separator/>
      </w:r>
    </w:p>
  </w:endnote>
  <w:endnote w:type="continuationSeparator" w:id="0">
    <w:p w:rsidR="0092213A" w:rsidRDefault="0092213A" w:rsidP="00A8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ax-Medium">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819044"/>
      <w:docPartObj>
        <w:docPartGallery w:val="Page Numbers (Bottom of Page)"/>
        <w:docPartUnique/>
      </w:docPartObj>
    </w:sdtPr>
    <w:sdtEndPr>
      <w:rPr>
        <w:noProof/>
      </w:rPr>
    </w:sdtEndPr>
    <w:sdtContent>
      <w:p w:rsidR="0092213A" w:rsidRDefault="0092213A">
        <w:pPr>
          <w:pStyle w:val="Footer"/>
          <w:jc w:val="center"/>
        </w:pPr>
        <w:r>
          <w:fldChar w:fldCharType="begin"/>
        </w:r>
        <w:r>
          <w:instrText xml:space="preserve"> PAGE   \* MERGEFORMAT </w:instrText>
        </w:r>
        <w:r>
          <w:fldChar w:fldCharType="separate"/>
        </w:r>
        <w:r w:rsidR="00D63CF8">
          <w:rPr>
            <w:noProof/>
          </w:rPr>
          <w:t>19</w:t>
        </w:r>
        <w:r>
          <w:rPr>
            <w:noProof/>
          </w:rPr>
          <w:fldChar w:fldCharType="end"/>
        </w:r>
      </w:p>
    </w:sdtContent>
  </w:sdt>
  <w:p w:rsidR="0092213A" w:rsidRDefault="00922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13A" w:rsidRDefault="0092213A" w:rsidP="00A8160B">
      <w:pPr>
        <w:spacing w:after="0" w:line="240" w:lineRule="auto"/>
      </w:pPr>
      <w:r>
        <w:separator/>
      </w:r>
    </w:p>
  </w:footnote>
  <w:footnote w:type="continuationSeparator" w:id="0">
    <w:p w:rsidR="0092213A" w:rsidRDefault="0092213A" w:rsidP="00A81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3A" w:rsidRDefault="0092213A" w:rsidP="0049787C">
    <w:pPr>
      <w:pStyle w:val="Header"/>
      <w:tabs>
        <w:tab w:val="clear" w:pos="4513"/>
        <w:tab w:val="clear" w:pos="9026"/>
        <w:tab w:val="left" w:pos="2130"/>
      </w:tabs>
    </w:pPr>
    <w:r>
      <w:rPr>
        <w:noProof/>
        <w:lang w:eastAsia="en-GB"/>
      </w:rPr>
      <w:drawing>
        <wp:anchor distT="0" distB="0" distL="114300" distR="114300" simplePos="0" relativeHeight="251660288" behindDoc="1" locked="0" layoutInCell="1" allowOverlap="1">
          <wp:simplePos x="0" y="0"/>
          <wp:positionH relativeFrom="page">
            <wp:align>right</wp:align>
          </wp:positionH>
          <wp:positionV relativeFrom="paragraph">
            <wp:posOffset>-440055</wp:posOffset>
          </wp:positionV>
          <wp:extent cx="7553074" cy="10683944"/>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 and Foot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074" cy="10683944"/>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3A" w:rsidRDefault="0092213A">
    <w:pPr>
      <w:pStyle w:val="Header"/>
    </w:pPr>
    <w:r>
      <w:rPr>
        <w:noProof/>
        <w:lang w:eastAsia="en-GB"/>
      </w:rPr>
      <w:drawing>
        <wp:anchor distT="0" distB="0" distL="114300" distR="114300" simplePos="0" relativeHeight="251659264" behindDoc="1" locked="0" layoutInCell="1" allowOverlap="1" wp14:anchorId="095F5D9D" wp14:editId="2A97028A">
          <wp:simplePos x="0" y="0"/>
          <wp:positionH relativeFrom="page">
            <wp:posOffset>9650</wp:posOffset>
          </wp:positionH>
          <wp:positionV relativeFrom="paragraph">
            <wp:posOffset>-449580</wp:posOffset>
          </wp:positionV>
          <wp:extent cx="7569575" cy="107072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Annex Cover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575" cy="107072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3A" w:rsidRDefault="0092213A" w:rsidP="0049787C">
    <w:pPr>
      <w:pStyle w:val="Header"/>
      <w:tabs>
        <w:tab w:val="clear" w:pos="4513"/>
        <w:tab w:val="clear" w:pos="9026"/>
        <w:tab w:val="left" w:pos="2130"/>
      </w:tabs>
    </w:pPr>
    <w:r>
      <w:rPr>
        <w:noProof/>
        <w:lang w:eastAsia="en-GB"/>
      </w:rPr>
      <w:drawing>
        <wp:anchor distT="0" distB="0" distL="114300" distR="114300" simplePos="0" relativeHeight="251661312" behindDoc="1" locked="0" layoutInCell="1" allowOverlap="1">
          <wp:simplePos x="0" y="0"/>
          <wp:positionH relativeFrom="column">
            <wp:posOffset>-939892</wp:posOffset>
          </wp:positionH>
          <wp:positionV relativeFrom="paragraph">
            <wp:posOffset>-449580</wp:posOffset>
          </wp:positionV>
          <wp:extent cx="7568987" cy="1070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 and Footer Portrait1.2 county revi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079" cy="10710474"/>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FB7"/>
    <w:multiLevelType w:val="hybridMultilevel"/>
    <w:tmpl w:val="84227736"/>
    <w:lvl w:ilvl="0" w:tplc="89AAE3C4">
      <w:start w:val="8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63AE8"/>
    <w:multiLevelType w:val="hybridMultilevel"/>
    <w:tmpl w:val="57E8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3766"/>
    <w:multiLevelType w:val="hybridMultilevel"/>
    <w:tmpl w:val="0410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58E"/>
    <w:multiLevelType w:val="hybridMultilevel"/>
    <w:tmpl w:val="ACC0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165DE"/>
    <w:multiLevelType w:val="hybridMultilevel"/>
    <w:tmpl w:val="7014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62E12"/>
    <w:multiLevelType w:val="hybridMultilevel"/>
    <w:tmpl w:val="36967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0578F"/>
    <w:multiLevelType w:val="hybridMultilevel"/>
    <w:tmpl w:val="B75A7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1714E"/>
    <w:multiLevelType w:val="hybridMultilevel"/>
    <w:tmpl w:val="6142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744D1"/>
    <w:multiLevelType w:val="hybridMultilevel"/>
    <w:tmpl w:val="8D98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A18E2"/>
    <w:multiLevelType w:val="hybridMultilevel"/>
    <w:tmpl w:val="5B3EDF18"/>
    <w:lvl w:ilvl="0" w:tplc="C8E0F27E">
      <w:start w:val="8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26F0E"/>
    <w:multiLevelType w:val="hybridMultilevel"/>
    <w:tmpl w:val="6464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A0BA3"/>
    <w:multiLevelType w:val="hybridMultilevel"/>
    <w:tmpl w:val="1D76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56E07"/>
    <w:multiLevelType w:val="hybridMultilevel"/>
    <w:tmpl w:val="A9E8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14095"/>
    <w:multiLevelType w:val="hybridMultilevel"/>
    <w:tmpl w:val="9F368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71FAB"/>
    <w:multiLevelType w:val="hybridMultilevel"/>
    <w:tmpl w:val="1C0E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D37D1"/>
    <w:multiLevelType w:val="hybridMultilevel"/>
    <w:tmpl w:val="3C644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5B77F5"/>
    <w:multiLevelType w:val="hybridMultilevel"/>
    <w:tmpl w:val="35CE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C430B"/>
    <w:multiLevelType w:val="hybridMultilevel"/>
    <w:tmpl w:val="73EA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3898"/>
    <w:multiLevelType w:val="hybridMultilevel"/>
    <w:tmpl w:val="9BBC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33EFD"/>
    <w:multiLevelType w:val="hybridMultilevel"/>
    <w:tmpl w:val="66A6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569B0"/>
    <w:multiLevelType w:val="hybridMultilevel"/>
    <w:tmpl w:val="98B0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52F07"/>
    <w:multiLevelType w:val="hybridMultilevel"/>
    <w:tmpl w:val="C1C2A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978A7"/>
    <w:multiLevelType w:val="hybridMultilevel"/>
    <w:tmpl w:val="4B7A1C8C"/>
    <w:lvl w:ilvl="0" w:tplc="555293DE">
      <w:start w:val="8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6518F"/>
    <w:multiLevelType w:val="hybridMultilevel"/>
    <w:tmpl w:val="6092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20998"/>
    <w:multiLevelType w:val="hybridMultilevel"/>
    <w:tmpl w:val="8A6C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C1253"/>
    <w:multiLevelType w:val="hybridMultilevel"/>
    <w:tmpl w:val="F42E2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C6131"/>
    <w:multiLevelType w:val="hybridMultilevel"/>
    <w:tmpl w:val="AE94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C648F"/>
    <w:multiLevelType w:val="hybridMultilevel"/>
    <w:tmpl w:val="079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C6951"/>
    <w:multiLevelType w:val="hybridMultilevel"/>
    <w:tmpl w:val="2EA8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B3F0E"/>
    <w:multiLevelType w:val="hybridMultilevel"/>
    <w:tmpl w:val="971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21F11"/>
    <w:multiLevelType w:val="hybridMultilevel"/>
    <w:tmpl w:val="21A6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D1F42"/>
    <w:multiLevelType w:val="hybridMultilevel"/>
    <w:tmpl w:val="D0B659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BF1EDE"/>
    <w:multiLevelType w:val="hybridMultilevel"/>
    <w:tmpl w:val="B8985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0735D"/>
    <w:multiLevelType w:val="hybridMultilevel"/>
    <w:tmpl w:val="FB26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9"/>
  </w:num>
  <w:num w:numId="4">
    <w:abstractNumId w:val="1"/>
  </w:num>
  <w:num w:numId="5">
    <w:abstractNumId w:val="24"/>
  </w:num>
  <w:num w:numId="6">
    <w:abstractNumId w:val="23"/>
  </w:num>
  <w:num w:numId="7">
    <w:abstractNumId w:val="28"/>
  </w:num>
  <w:num w:numId="8">
    <w:abstractNumId w:val="20"/>
  </w:num>
  <w:num w:numId="9">
    <w:abstractNumId w:val="27"/>
  </w:num>
  <w:num w:numId="10">
    <w:abstractNumId w:val="19"/>
  </w:num>
  <w:num w:numId="11">
    <w:abstractNumId w:val="30"/>
  </w:num>
  <w:num w:numId="12">
    <w:abstractNumId w:val="4"/>
  </w:num>
  <w:num w:numId="13">
    <w:abstractNumId w:val="16"/>
  </w:num>
  <w:num w:numId="14">
    <w:abstractNumId w:val="13"/>
  </w:num>
  <w:num w:numId="15">
    <w:abstractNumId w:val="6"/>
  </w:num>
  <w:num w:numId="16">
    <w:abstractNumId w:val="29"/>
  </w:num>
  <w:num w:numId="17">
    <w:abstractNumId w:val="26"/>
  </w:num>
  <w:num w:numId="18">
    <w:abstractNumId w:val="21"/>
  </w:num>
  <w:num w:numId="19">
    <w:abstractNumId w:val="26"/>
  </w:num>
  <w:num w:numId="20">
    <w:abstractNumId w:val="21"/>
  </w:num>
  <w:num w:numId="21">
    <w:abstractNumId w:val="7"/>
  </w:num>
  <w:num w:numId="22">
    <w:abstractNumId w:val="31"/>
  </w:num>
  <w:num w:numId="23">
    <w:abstractNumId w:val="2"/>
  </w:num>
  <w:num w:numId="24">
    <w:abstractNumId w:val="10"/>
  </w:num>
  <w:num w:numId="25">
    <w:abstractNumId w:val="3"/>
  </w:num>
  <w:num w:numId="26">
    <w:abstractNumId w:val="14"/>
  </w:num>
  <w:num w:numId="27">
    <w:abstractNumId w:val="11"/>
  </w:num>
  <w:num w:numId="28">
    <w:abstractNumId w:val="15"/>
  </w:num>
  <w:num w:numId="29">
    <w:abstractNumId w:val="32"/>
  </w:num>
  <w:num w:numId="30">
    <w:abstractNumId w:val="5"/>
  </w:num>
  <w:num w:numId="31">
    <w:abstractNumId w:val="18"/>
  </w:num>
  <w:num w:numId="32">
    <w:abstractNumId w:val="12"/>
  </w:num>
  <w:num w:numId="33">
    <w:abstractNumId w:val="25"/>
  </w:num>
  <w:num w:numId="34">
    <w:abstractNumId w:val="33"/>
  </w:num>
  <w:num w:numId="35">
    <w:abstractNumId w:val="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2F"/>
    <w:rsid w:val="00007EF5"/>
    <w:rsid w:val="000164E5"/>
    <w:rsid w:val="000171E4"/>
    <w:rsid w:val="00023AF6"/>
    <w:rsid w:val="00026B56"/>
    <w:rsid w:val="00037F51"/>
    <w:rsid w:val="00043E18"/>
    <w:rsid w:val="0006420B"/>
    <w:rsid w:val="00094566"/>
    <w:rsid w:val="000B51BE"/>
    <w:rsid w:val="000D721D"/>
    <w:rsid w:val="000E61C0"/>
    <w:rsid w:val="00107CB7"/>
    <w:rsid w:val="001110DE"/>
    <w:rsid w:val="00113FC7"/>
    <w:rsid w:val="0011752D"/>
    <w:rsid w:val="001212C1"/>
    <w:rsid w:val="00123782"/>
    <w:rsid w:val="00126392"/>
    <w:rsid w:val="00132196"/>
    <w:rsid w:val="001369A8"/>
    <w:rsid w:val="00136C49"/>
    <w:rsid w:val="001443C6"/>
    <w:rsid w:val="001636E1"/>
    <w:rsid w:val="001647DE"/>
    <w:rsid w:val="001679CD"/>
    <w:rsid w:val="00177D69"/>
    <w:rsid w:val="00190059"/>
    <w:rsid w:val="001956B1"/>
    <w:rsid w:val="00197C4B"/>
    <w:rsid w:val="001A1BBF"/>
    <w:rsid w:val="001B1CDF"/>
    <w:rsid w:val="001B765D"/>
    <w:rsid w:val="001C52BA"/>
    <w:rsid w:val="001C7ACC"/>
    <w:rsid w:val="001F05E5"/>
    <w:rsid w:val="00202E8E"/>
    <w:rsid w:val="00222ED2"/>
    <w:rsid w:val="0023002C"/>
    <w:rsid w:val="002429C3"/>
    <w:rsid w:val="00244EFB"/>
    <w:rsid w:val="00256CE9"/>
    <w:rsid w:val="00257C2B"/>
    <w:rsid w:val="00277076"/>
    <w:rsid w:val="002959D5"/>
    <w:rsid w:val="002A727B"/>
    <w:rsid w:val="002C3721"/>
    <w:rsid w:val="002C59D3"/>
    <w:rsid w:val="002C5CA9"/>
    <w:rsid w:val="002D635C"/>
    <w:rsid w:val="002E516D"/>
    <w:rsid w:val="002F5848"/>
    <w:rsid w:val="002F7CAC"/>
    <w:rsid w:val="0031568B"/>
    <w:rsid w:val="00325D40"/>
    <w:rsid w:val="003352CB"/>
    <w:rsid w:val="003431B3"/>
    <w:rsid w:val="00343ABB"/>
    <w:rsid w:val="003445BC"/>
    <w:rsid w:val="00370828"/>
    <w:rsid w:val="0037154A"/>
    <w:rsid w:val="00377FAD"/>
    <w:rsid w:val="003B258D"/>
    <w:rsid w:val="003C6B7E"/>
    <w:rsid w:val="003C7A5A"/>
    <w:rsid w:val="003D4BC9"/>
    <w:rsid w:val="003E3591"/>
    <w:rsid w:val="00406B12"/>
    <w:rsid w:val="004104F9"/>
    <w:rsid w:val="00440E78"/>
    <w:rsid w:val="004459C4"/>
    <w:rsid w:val="00453B88"/>
    <w:rsid w:val="004660FD"/>
    <w:rsid w:val="00466466"/>
    <w:rsid w:val="00467DDF"/>
    <w:rsid w:val="00487DC8"/>
    <w:rsid w:val="0049787C"/>
    <w:rsid w:val="004C1F11"/>
    <w:rsid w:val="004E0712"/>
    <w:rsid w:val="005073DC"/>
    <w:rsid w:val="005138FB"/>
    <w:rsid w:val="00514275"/>
    <w:rsid w:val="005440E9"/>
    <w:rsid w:val="0054590A"/>
    <w:rsid w:val="00561D52"/>
    <w:rsid w:val="00563107"/>
    <w:rsid w:val="00566C0F"/>
    <w:rsid w:val="005809E3"/>
    <w:rsid w:val="005837BF"/>
    <w:rsid w:val="0058502E"/>
    <w:rsid w:val="005925BC"/>
    <w:rsid w:val="00594556"/>
    <w:rsid w:val="005A3968"/>
    <w:rsid w:val="005A49A9"/>
    <w:rsid w:val="005A592C"/>
    <w:rsid w:val="005C66E8"/>
    <w:rsid w:val="005F1FF8"/>
    <w:rsid w:val="00603A3B"/>
    <w:rsid w:val="00607CBC"/>
    <w:rsid w:val="00611096"/>
    <w:rsid w:val="00613089"/>
    <w:rsid w:val="00630C2C"/>
    <w:rsid w:val="006403FE"/>
    <w:rsid w:val="00655DD3"/>
    <w:rsid w:val="00656715"/>
    <w:rsid w:val="00680499"/>
    <w:rsid w:val="00684A2A"/>
    <w:rsid w:val="006C5D86"/>
    <w:rsid w:val="006C727A"/>
    <w:rsid w:val="006E2242"/>
    <w:rsid w:val="007031FA"/>
    <w:rsid w:val="007109D9"/>
    <w:rsid w:val="00712CD6"/>
    <w:rsid w:val="00727704"/>
    <w:rsid w:val="007A0AE8"/>
    <w:rsid w:val="007A5905"/>
    <w:rsid w:val="007B0ABC"/>
    <w:rsid w:val="007B7CDF"/>
    <w:rsid w:val="007C56C0"/>
    <w:rsid w:val="007C655B"/>
    <w:rsid w:val="007D4E1A"/>
    <w:rsid w:val="007D7D3A"/>
    <w:rsid w:val="00820FFB"/>
    <w:rsid w:val="00823EA7"/>
    <w:rsid w:val="00842E4D"/>
    <w:rsid w:val="00844E90"/>
    <w:rsid w:val="008759BF"/>
    <w:rsid w:val="00883DBE"/>
    <w:rsid w:val="00893974"/>
    <w:rsid w:val="00897B32"/>
    <w:rsid w:val="008A067D"/>
    <w:rsid w:val="008D33F8"/>
    <w:rsid w:val="008E2ACA"/>
    <w:rsid w:val="008E428B"/>
    <w:rsid w:val="008F1F00"/>
    <w:rsid w:val="008F4AF5"/>
    <w:rsid w:val="00910DD5"/>
    <w:rsid w:val="00915721"/>
    <w:rsid w:val="0091694E"/>
    <w:rsid w:val="0092213A"/>
    <w:rsid w:val="009402C9"/>
    <w:rsid w:val="00940B18"/>
    <w:rsid w:val="009425FE"/>
    <w:rsid w:val="00951DA1"/>
    <w:rsid w:val="0096533A"/>
    <w:rsid w:val="00974255"/>
    <w:rsid w:val="009911C5"/>
    <w:rsid w:val="009952DA"/>
    <w:rsid w:val="009B33AD"/>
    <w:rsid w:val="009B3DF0"/>
    <w:rsid w:val="009B4CFB"/>
    <w:rsid w:val="009C1286"/>
    <w:rsid w:val="009D3600"/>
    <w:rsid w:val="009D7BDB"/>
    <w:rsid w:val="009E390B"/>
    <w:rsid w:val="00A02D37"/>
    <w:rsid w:val="00A04812"/>
    <w:rsid w:val="00A04F81"/>
    <w:rsid w:val="00A104BE"/>
    <w:rsid w:val="00A23974"/>
    <w:rsid w:val="00A4163C"/>
    <w:rsid w:val="00A46DCE"/>
    <w:rsid w:val="00A5073C"/>
    <w:rsid w:val="00A601A4"/>
    <w:rsid w:val="00A606A7"/>
    <w:rsid w:val="00A75740"/>
    <w:rsid w:val="00A80494"/>
    <w:rsid w:val="00A8160B"/>
    <w:rsid w:val="00AA4973"/>
    <w:rsid w:val="00AB7FAB"/>
    <w:rsid w:val="00AC18E7"/>
    <w:rsid w:val="00AC32AE"/>
    <w:rsid w:val="00AE0BDD"/>
    <w:rsid w:val="00AE24F8"/>
    <w:rsid w:val="00AE66F7"/>
    <w:rsid w:val="00AF6776"/>
    <w:rsid w:val="00B1442F"/>
    <w:rsid w:val="00B17D93"/>
    <w:rsid w:val="00B22AE6"/>
    <w:rsid w:val="00B22E51"/>
    <w:rsid w:val="00B24F31"/>
    <w:rsid w:val="00B31A57"/>
    <w:rsid w:val="00B33C63"/>
    <w:rsid w:val="00B42305"/>
    <w:rsid w:val="00B52D21"/>
    <w:rsid w:val="00B72F67"/>
    <w:rsid w:val="00B7513E"/>
    <w:rsid w:val="00B80559"/>
    <w:rsid w:val="00B92CA6"/>
    <w:rsid w:val="00B9434B"/>
    <w:rsid w:val="00B94D2A"/>
    <w:rsid w:val="00B95303"/>
    <w:rsid w:val="00BA078F"/>
    <w:rsid w:val="00BB17C5"/>
    <w:rsid w:val="00BC0B15"/>
    <w:rsid w:val="00BC3683"/>
    <w:rsid w:val="00BC3BD6"/>
    <w:rsid w:val="00BC5154"/>
    <w:rsid w:val="00BD2903"/>
    <w:rsid w:val="00BD41A9"/>
    <w:rsid w:val="00BD7017"/>
    <w:rsid w:val="00BE02A1"/>
    <w:rsid w:val="00BE3641"/>
    <w:rsid w:val="00BF1977"/>
    <w:rsid w:val="00BF4423"/>
    <w:rsid w:val="00C211C9"/>
    <w:rsid w:val="00C2267B"/>
    <w:rsid w:val="00C2437D"/>
    <w:rsid w:val="00C257D4"/>
    <w:rsid w:val="00C414E7"/>
    <w:rsid w:val="00C56855"/>
    <w:rsid w:val="00C622DD"/>
    <w:rsid w:val="00C63A58"/>
    <w:rsid w:val="00C73B62"/>
    <w:rsid w:val="00C8050A"/>
    <w:rsid w:val="00CB06E5"/>
    <w:rsid w:val="00CD3266"/>
    <w:rsid w:val="00CD6A58"/>
    <w:rsid w:val="00CD79FC"/>
    <w:rsid w:val="00CE1A90"/>
    <w:rsid w:val="00CE3A71"/>
    <w:rsid w:val="00CF2C8C"/>
    <w:rsid w:val="00CF3789"/>
    <w:rsid w:val="00CF6FAA"/>
    <w:rsid w:val="00D0604E"/>
    <w:rsid w:val="00D31F06"/>
    <w:rsid w:val="00D47CF5"/>
    <w:rsid w:val="00D63CF8"/>
    <w:rsid w:val="00D705C8"/>
    <w:rsid w:val="00D70E86"/>
    <w:rsid w:val="00D94038"/>
    <w:rsid w:val="00D95671"/>
    <w:rsid w:val="00D96791"/>
    <w:rsid w:val="00DA2AFA"/>
    <w:rsid w:val="00DB140E"/>
    <w:rsid w:val="00DB6686"/>
    <w:rsid w:val="00DB78D4"/>
    <w:rsid w:val="00DC316B"/>
    <w:rsid w:val="00DC7FAE"/>
    <w:rsid w:val="00E1628D"/>
    <w:rsid w:val="00E275EA"/>
    <w:rsid w:val="00E377B4"/>
    <w:rsid w:val="00E4791D"/>
    <w:rsid w:val="00E5532D"/>
    <w:rsid w:val="00E562E5"/>
    <w:rsid w:val="00E62DA9"/>
    <w:rsid w:val="00E67AEB"/>
    <w:rsid w:val="00E7131C"/>
    <w:rsid w:val="00E71AB2"/>
    <w:rsid w:val="00E836FA"/>
    <w:rsid w:val="00EA00D4"/>
    <w:rsid w:val="00EA56BC"/>
    <w:rsid w:val="00ED6377"/>
    <w:rsid w:val="00F14D89"/>
    <w:rsid w:val="00F215B1"/>
    <w:rsid w:val="00F255A5"/>
    <w:rsid w:val="00F26560"/>
    <w:rsid w:val="00F4209A"/>
    <w:rsid w:val="00F44030"/>
    <w:rsid w:val="00F47B0C"/>
    <w:rsid w:val="00F70C3C"/>
    <w:rsid w:val="00F915C3"/>
    <w:rsid w:val="00F97EE0"/>
    <w:rsid w:val="00FA63DB"/>
    <w:rsid w:val="00FE497C"/>
    <w:rsid w:val="00FF1A98"/>
    <w:rsid w:val="00FF25B1"/>
    <w:rsid w:val="00FF3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F6DE14F9-1EFC-4688-8514-85EF2B3F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0B"/>
  </w:style>
  <w:style w:type="paragraph" w:styleId="Footer">
    <w:name w:val="footer"/>
    <w:basedOn w:val="Normal"/>
    <w:link w:val="FooterChar"/>
    <w:uiPriority w:val="99"/>
    <w:unhideWhenUsed/>
    <w:rsid w:val="00A81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0B"/>
  </w:style>
  <w:style w:type="table" w:styleId="TableGrid">
    <w:name w:val="Table Grid"/>
    <w:basedOn w:val="TableNormal"/>
    <w:uiPriority w:val="39"/>
    <w:rsid w:val="0058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02C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y0nh2b">
    <w:name w:val="y0nh2b"/>
    <w:rsid w:val="009402C9"/>
  </w:style>
  <w:style w:type="paragraph" w:styleId="ListParagraph">
    <w:name w:val="List Paragraph"/>
    <w:basedOn w:val="Normal"/>
    <w:uiPriority w:val="34"/>
    <w:qFormat/>
    <w:rsid w:val="009402C9"/>
    <w:pPr>
      <w:ind w:left="720"/>
      <w:contextualSpacing/>
    </w:pPr>
  </w:style>
  <w:style w:type="paragraph" w:styleId="BalloonText">
    <w:name w:val="Balloon Text"/>
    <w:basedOn w:val="Normal"/>
    <w:link w:val="BalloonTextChar"/>
    <w:uiPriority w:val="99"/>
    <w:semiHidden/>
    <w:unhideWhenUsed/>
    <w:rsid w:val="007B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CDF"/>
    <w:rPr>
      <w:rFonts w:ascii="Segoe UI" w:hAnsi="Segoe UI" w:cs="Segoe UI"/>
      <w:sz w:val="18"/>
      <w:szCs w:val="18"/>
    </w:rPr>
  </w:style>
  <w:style w:type="character" w:styleId="Hyperlink">
    <w:name w:val="Hyperlink"/>
    <w:basedOn w:val="DefaultParagraphFont"/>
    <w:uiPriority w:val="99"/>
    <w:unhideWhenUsed/>
    <w:rsid w:val="00466466"/>
    <w:rPr>
      <w:color w:val="0563C1" w:themeColor="hyperlink"/>
      <w:u w:val="single"/>
    </w:rPr>
  </w:style>
  <w:style w:type="character" w:customStyle="1" w:styleId="wysiwyg-font-size-large1">
    <w:name w:val="wysiwyg-font-size-large1"/>
    <w:basedOn w:val="DefaultParagraphFont"/>
    <w:rsid w:val="00466466"/>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68853">
      <w:bodyDiv w:val="1"/>
      <w:marLeft w:val="0"/>
      <w:marRight w:val="0"/>
      <w:marTop w:val="0"/>
      <w:marBottom w:val="0"/>
      <w:divBdr>
        <w:top w:val="none" w:sz="0" w:space="0" w:color="auto"/>
        <w:left w:val="none" w:sz="0" w:space="0" w:color="auto"/>
        <w:bottom w:val="none" w:sz="0" w:space="0" w:color="auto"/>
        <w:right w:val="none" w:sz="0" w:space="0" w:color="auto"/>
      </w:divBdr>
    </w:div>
    <w:div w:id="516234828">
      <w:bodyDiv w:val="1"/>
      <w:marLeft w:val="0"/>
      <w:marRight w:val="0"/>
      <w:marTop w:val="0"/>
      <w:marBottom w:val="0"/>
      <w:divBdr>
        <w:top w:val="none" w:sz="0" w:space="0" w:color="auto"/>
        <w:left w:val="none" w:sz="0" w:space="0" w:color="auto"/>
        <w:bottom w:val="none" w:sz="0" w:space="0" w:color="auto"/>
        <w:right w:val="none" w:sz="0" w:space="0" w:color="auto"/>
      </w:divBdr>
    </w:div>
    <w:div w:id="1381512747">
      <w:bodyDiv w:val="1"/>
      <w:marLeft w:val="0"/>
      <w:marRight w:val="0"/>
      <w:marTop w:val="0"/>
      <w:marBottom w:val="0"/>
      <w:divBdr>
        <w:top w:val="none" w:sz="0" w:space="0" w:color="auto"/>
        <w:left w:val="none" w:sz="0" w:space="0" w:color="auto"/>
        <w:bottom w:val="none" w:sz="0" w:space="0" w:color="auto"/>
        <w:right w:val="none" w:sz="0" w:space="0" w:color="auto"/>
      </w:divBdr>
    </w:div>
    <w:div w:id="1519193579">
      <w:bodyDiv w:val="1"/>
      <w:marLeft w:val="0"/>
      <w:marRight w:val="0"/>
      <w:marTop w:val="0"/>
      <w:marBottom w:val="0"/>
      <w:divBdr>
        <w:top w:val="none" w:sz="0" w:space="0" w:color="auto"/>
        <w:left w:val="none" w:sz="0" w:space="0" w:color="auto"/>
        <w:bottom w:val="none" w:sz="0" w:space="0" w:color="auto"/>
        <w:right w:val="none" w:sz="0" w:space="0" w:color="auto"/>
      </w:divBdr>
    </w:div>
    <w:div w:id="20286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2.xml"/><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6.jpeg"/></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CYP\CYPRestrictedPermissions\Post%2016%20Provision\Post%2016\Planning%20and%20Funding\201819\Statement%20of%20Priorities\District%20Data%202018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orpData02\CYP\CYPRestrictedPermissions\Post%2016%20Provision\Post%2016\Planning%20and%20Funding\201819\Statement%20of%20Priorities\District%20Data%202018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orpData02\CYP\CYPRestrictedPermissions\Post%2016%20Provision\Post%2016\Planning%20and%20Funding\201819\Statement%20of%20Priorities\District%20Data%202018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2\CYP\CYPRestrictedPermissions\Post%2016%20Provision\Post%2016\Planning%20and%20Funding\201819\Statement%20of%20Priorities\District%20Data%202018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orpData02\CYP\CYPRestrictedPermissions\Post%2016%20Provision\Post%2016\Planning%20and%20Funding\201819\Statement%20of%20Priorities\District%20Data%202018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orpData02\CYP\CYPRestrictedPermissions\Post%2016%20Provision\Post%2016\Planning%20and%20Funding\201819\Statement%20of%20Priorities\District%20Data%202018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orpData02\CYP\CYPRestrictedPermissions\Post%2016%20Provision\Post%2016\Planning%20and%20Funding\201819\Statement%20of%20Priorities\District%20Data%20201819.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orpData02\CYP\CYPRestrictedPermissions\Post%2016%20Provision\Post%2016\Planning%20and%20Funding\201819\Statement%20of%20Priorities\District%20Data%20201819.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orpData02\CYP\CYPRestrictedPermissions\Post%2016%20Provision\Post%2016\Planning%20and%20Funding\201819\Statement%20of%20Priorities\District%20Data%20201819.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rgbClr val="00ACE9"/>
                </a:solidFill>
                <a:latin typeface="Arial" panose="020B0604020202020204" pitchFamily="34" charset="0"/>
                <a:cs typeface="Arial" panose="020B0604020202020204" pitchFamily="34" charset="0"/>
              </a:rPr>
              <a:t>Participation by</a:t>
            </a:r>
            <a:r>
              <a:rPr lang="en-GB" sz="1200" b="1" baseline="0">
                <a:solidFill>
                  <a:srgbClr val="00ACE9"/>
                </a:solidFill>
                <a:latin typeface="Arial" panose="020B0604020202020204" pitchFamily="34" charset="0"/>
                <a:cs typeface="Arial" panose="020B0604020202020204" pitchFamily="34" charset="0"/>
              </a:rPr>
              <a:t> level</a:t>
            </a:r>
            <a:endParaRPr lang="en-GB" sz="1200" b="1">
              <a:solidFill>
                <a:srgbClr val="00ACE9"/>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ACE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Charts!$A$6:$A$11</c:f>
              <c:strCache>
                <c:ptCount val="6"/>
                <c:pt idx="0">
                  <c:v>Entry Level</c:v>
                </c:pt>
                <c:pt idx="1">
                  <c:v>Level 1</c:v>
                </c:pt>
                <c:pt idx="2">
                  <c:v>Level 2</c:v>
                </c:pt>
                <c:pt idx="3">
                  <c:v>Level 3</c:v>
                </c:pt>
                <c:pt idx="4">
                  <c:v>Level 4</c:v>
                </c:pt>
                <c:pt idx="5">
                  <c:v>Other Level</c:v>
                </c:pt>
              </c:strCache>
            </c:strRef>
          </c:cat>
          <c:val>
            <c:numRef>
              <c:f>Charts!$B$6:$B$11</c:f>
              <c:numCache>
                <c:formatCode>0.0%</c:formatCode>
                <c:ptCount val="6"/>
                <c:pt idx="0">
                  <c:v>3.6999999999999998E-2</c:v>
                </c:pt>
                <c:pt idx="1">
                  <c:v>0.106</c:v>
                </c:pt>
                <c:pt idx="2">
                  <c:v>0.16400000000000001</c:v>
                </c:pt>
                <c:pt idx="3">
                  <c:v>0.68100000000000005</c:v>
                </c:pt>
                <c:pt idx="4">
                  <c:v>1E-3</c:v>
                </c:pt>
                <c:pt idx="5">
                  <c:v>1.2E-2</c:v>
                </c:pt>
              </c:numCache>
            </c:numRef>
          </c:val>
        </c:ser>
        <c:dLbls>
          <c:dLblPos val="outEnd"/>
          <c:showLegendKey val="0"/>
          <c:showVal val="1"/>
          <c:showCatName val="0"/>
          <c:showSerName val="0"/>
          <c:showPercent val="0"/>
          <c:showBubbleSize val="0"/>
        </c:dLbls>
        <c:gapWidth val="182"/>
        <c:axId val="46343456"/>
        <c:axId val="51738224"/>
      </c:barChart>
      <c:catAx>
        <c:axId val="46343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38224"/>
        <c:crosses val="autoZero"/>
        <c:auto val="1"/>
        <c:lblAlgn val="ctr"/>
        <c:lblOffset val="100"/>
        <c:noMultiLvlLbl val="0"/>
      </c:catAx>
      <c:valAx>
        <c:axId val="5173822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43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rgbClr val="00ACE9"/>
                </a:solidFill>
                <a:latin typeface="Arial" panose="020B0604020202020204" pitchFamily="34" charset="0"/>
                <a:cs typeface="Arial" panose="020B0604020202020204" pitchFamily="34" charset="0"/>
              </a:rPr>
              <a:t>Participation</a:t>
            </a:r>
            <a:r>
              <a:rPr lang="en-GB" sz="1200" b="1" baseline="0">
                <a:solidFill>
                  <a:srgbClr val="00ACE9"/>
                </a:solidFill>
                <a:latin typeface="Arial" panose="020B0604020202020204" pitchFamily="34" charset="0"/>
                <a:cs typeface="Arial" panose="020B0604020202020204" pitchFamily="34" charset="0"/>
              </a:rPr>
              <a:t> by banded ethnicity</a:t>
            </a:r>
            <a:endParaRPr lang="en-GB" sz="1200" b="1">
              <a:solidFill>
                <a:srgbClr val="00ACE9"/>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ACE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Charts!$K$8:$K$12</c:f>
              <c:strCache>
                <c:ptCount val="5"/>
                <c:pt idx="0">
                  <c:v>Asian / Asian British</c:v>
                </c:pt>
                <c:pt idx="1">
                  <c:v>Black / African / Caribbean / Black British</c:v>
                </c:pt>
                <c:pt idx="2">
                  <c:v>Mixed / Multiple ethnic group</c:v>
                </c:pt>
                <c:pt idx="3">
                  <c:v>Other ethnic group</c:v>
                </c:pt>
                <c:pt idx="4">
                  <c:v>White</c:v>
                </c:pt>
              </c:strCache>
            </c:strRef>
          </c:cat>
          <c:val>
            <c:numRef>
              <c:f>Charts!$L$8:$L$12</c:f>
              <c:numCache>
                <c:formatCode>0.0%</c:formatCode>
                <c:ptCount val="5"/>
                <c:pt idx="0">
                  <c:v>0.123</c:v>
                </c:pt>
                <c:pt idx="1">
                  <c:v>4.0000000000000001E-3</c:v>
                </c:pt>
                <c:pt idx="2">
                  <c:v>2.3E-2</c:v>
                </c:pt>
                <c:pt idx="3">
                  <c:v>1.7999999999999999E-2</c:v>
                </c:pt>
                <c:pt idx="4">
                  <c:v>0.83199999999999996</c:v>
                </c:pt>
              </c:numCache>
            </c:numRef>
          </c:val>
        </c:ser>
        <c:dLbls>
          <c:dLblPos val="outEnd"/>
          <c:showLegendKey val="0"/>
          <c:showVal val="1"/>
          <c:showCatName val="0"/>
          <c:showSerName val="0"/>
          <c:showPercent val="0"/>
          <c:showBubbleSize val="0"/>
        </c:dLbls>
        <c:gapWidth val="219"/>
        <c:overlap val="-27"/>
        <c:axId val="290289296"/>
        <c:axId val="48156320"/>
      </c:barChart>
      <c:catAx>
        <c:axId val="29028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56320"/>
        <c:crosses val="autoZero"/>
        <c:auto val="1"/>
        <c:lblAlgn val="ctr"/>
        <c:lblOffset val="100"/>
        <c:noMultiLvlLbl val="0"/>
      </c:catAx>
      <c:valAx>
        <c:axId val="481563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289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rgbClr val="00ACE9"/>
                </a:solidFill>
                <a:latin typeface="Arial" panose="020B0604020202020204" pitchFamily="34" charset="0"/>
                <a:cs typeface="Arial" panose="020B0604020202020204" pitchFamily="34" charset="0"/>
              </a:rPr>
              <a:t>Participation</a:t>
            </a:r>
            <a:r>
              <a:rPr lang="en-GB" sz="1200" b="1" baseline="0">
                <a:solidFill>
                  <a:srgbClr val="00ACE9"/>
                </a:solidFill>
                <a:latin typeface="Arial" panose="020B0604020202020204" pitchFamily="34" charset="0"/>
                <a:cs typeface="Arial" panose="020B0604020202020204" pitchFamily="34" charset="0"/>
              </a:rPr>
              <a:t> by level</a:t>
            </a:r>
            <a:endParaRPr lang="en-GB" sz="1200" b="1">
              <a:solidFill>
                <a:srgbClr val="00ACE9"/>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ACE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Charts!$A$22:$A$26</c:f>
              <c:strCache>
                <c:ptCount val="5"/>
                <c:pt idx="0">
                  <c:v>Entry Level</c:v>
                </c:pt>
                <c:pt idx="1">
                  <c:v>Level 1</c:v>
                </c:pt>
                <c:pt idx="2">
                  <c:v>Level 2</c:v>
                </c:pt>
                <c:pt idx="3">
                  <c:v>Level 3</c:v>
                </c:pt>
                <c:pt idx="4">
                  <c:v>Other Level</c:v>
                </c:pt>
              </c:strCache>
            </c:strRef>
          </c:cat>
          <c:val>
            <c:numRef>
              <c:f>Charts!$B$22:$B$26</c:f>
              <c:numCache>
                <c:formatCode>0.0%</c:formatCode>
                <c:ptCount val="5"/>
                <c:pt idx="0">
                  <c:v>0.58499999999999996</c:v>
                </c:pt>
                <c:pt idx="1">
                  <c:v>0.187</c:v>
                </c:pt>
                <c:pt idx="2">
                  <c:v>7.8E-2</c:v>
                </c:pt>
                <c:pt idx="3">
                  <c:v>7.1999999999999995E-2</c:v>
                </c:pt>
                <c:pt idx="4">
                  <c:v>7.8E-2</c:v>
                </c:pt>
              </c:numCache>
            </c:numRef>
          </c:val>
        </c:ser>
        <c:dLbls>
          <c:dLblPos val="outEnd"/>
          <c:showLegendKey val="0"/>
          <c:showVal val="1"/>
          <c:showCatName val="0"/>
          <c:showSerName val="0"/>
          <c:showPercent val="0"/>
          <c:showBubbleSize val="0"/>
        </c:dLbls>
        <c:gapWidth val="182"/>
        <c:axId val="289640856"/>
        <c:axId val="289933120"/>
      </c:barChart>
      <c:catAx>
        <c:axId val="289640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933120"/>
        <c:crosses val="autoZero"/>
        <c:auto val="1"/>
        <c:lblAlgn val="ctr"/>
        <c:lblOffset val="100"/>
        <c:noMultiLvlLbl val="0"/>
      </c:catAx>
      <c:valAx>
        <c:axId val="28993312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640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rgbClr val="00ACE9"/>
                </a:solidFill>
                <a:latin typeface="Arial" panose="020B0604020202020204" pitchFamily="34" charset="0"/>
                <a:cs typeface="Arial" panose="020B0604020202020204" pitchFamily="34" charset="0"/>
              </a:rPr>
              <a:t>Participation</a:t>
            </a:r>
            <a:r>
              <a:rPr lang="en-GB" sz="1200" b="1" baseline="0">
                <a:solidFill>
                  <a:srgbClr val="00ACE9"/>
                </a:solidFill>
                <a:latin typeface="Arial" panose="020B0604020202020204" pitchFamily="34" charset="0"/>
                <a:cs typeface="Arial" panose="020B0604020202020204" pitchFamily="34" charset="0"/>
              </a:rPr>
              <a:t> by banded ethnicity</a:t>
            </a:r>
            <a:endParaRPr lang="en-GB" sz="1200" b="1">
              <a:solidFill>
                <a:srgbClr val="00ACE9"/>
              </a:solidFill>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ACE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Charts!$K$21:$K$25</c:f>
              <c:strCache>
                <c:ptCount val="5"/>
                <c:pt idx="0">
                  <c:v>Asian / Asian British</c:v>
                </c:pt>
                <c:pt idx="1">
                  <c:v>Black / African / Caribbean / Black British</c:v>
                </c:pt>
                <c:pt idx="2">
                  <c:v>Mixed / Multiple ethnic group</c:v>
                </c:pt>
                <c:pt idx="3">
                  <c:v>Other ethnic group</c:v>
                </c:pt>
                <c:pt idx="4">
                  <c:v>White</c:v>
                </c:pt>
              </c:strCache>
            </c:strRef>
          </c:cat>
          <c:val>
            <c:numRef>
              <c:f>Charts!$L$21:$L$25</c:f>
              <c:numCache>
                <c:formatCode>0.0%</c:formatCode>
                <c:ptCount val="5"/>
                <c:pt idx="0">
                  <c:v>8.8999999999999996E-2</c:v>
                </c:pt>
                <c:pt idx="1">
                  <c:v>3.0000000000000001E-3</c:v>
                </c:pt>
                <c:pt idx="2">
                  <c:v>2.1999999999999999E-2</c:v>
                </c:pt>
                <c:pt idx="3">
                  <c:v>7.0000000000000007E-2</c:v>
                </c:pt>
                <c:pt idx="4">
                  <c:v>0.81599999999999995</c:v>
                </c:pt>
              </c:numCache>
            </c:numRef>
          </c:val>
        </c:ser>
        <c:dLbls>
          <c:dLblPos val="outEnd"/>
          <c:showLegendKey val="0"/>
          <c:showVal val="1"/>
          <c:showCatName val="0"/>
          <c:showSerName val="0"/>
          <c:showPercent val="0"/>
          <c:showBubbleSize val="0"/>
        </c:dLbls>
        <c:gapWidth val="219"/>
        <c:overlap val="-27"/>
        <c:axId val="51153400"/>
        <c:axId val="51153008"/>
      </c:barChart>
      <c:catAx>
        <c:axId val="5115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3008"/>
        <c:crosses val="autoZero"/>
        <c:auto val="1"/>
        <c:lblAlgn val="ctr"/>
        <c:lblOffset val="100"/>
        <c:noMultiLvlLbl val="0"/>
      </c:catAx>
      <c:valAx>
        <c:axId val="511530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53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rgbClr val="00ACE9"/>
                </a:solidFill>
                <a:latin typeface="Arial" panose="020B0604020202020204" pitchFamily="34" charset="0"/>
                <a:cs typeface="Arial" panose="020B0604020202020204" pitchFamily="34" charset="0"/>
              </a:rPr>
              <a:t>Participation</a:t>
            </a:r>
            <a:r>
              <a:rPr lang="en-GB" sz="1200" b="1" baseline="0">
                <a:solidFill>
                  <a:srgbClr val="00ACE9"/>
                </a:solidFill>
                <a:latin typeface="Arial" panose="020B0604020202020204" pitchFamily="34" charset="0"/>
                <a:cs typeface="Arial" panose="020B0604020202020204" pitchFamily="34" charset="0"/>
              </a:rPr>
              <a:t> by level</a:t>
            </a:r>
            <a:endParaRPr lang="en-GB" b="1">
              <a:solidFill>
                <a:srgbClr val="00ACE9"/>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ACE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Charts!$A$35:$A$38</c:f>
              <c:strCache>
                <c:ptCount val="4"/>
                <c:pt idx="0">
                  <c:v>Entry Level</c:v>
                </c:pt>
                <c:pt idx="1">
                  <c:v>Level 1</c:v>
                </c:pt>
                <c:pt idx="2">
                  <c:v>Level 2</c:v>
                </c:pt>
                <c:pt idx="3">
                  <c:v>Level 3</c:v>
                </c:pt>
              </c:strCache>
            </c:strRef>
          </c:cat>
          <c:val>
            <c:numRef>
              <c:f>Charts!$B$35:$B$38</c:f>
              <c:numCache>
                <c:formatCode>0.0%</c:formatCode>
                <c:ptCount val="4"/>
                <c:pt idx="0">
                  <c:v>1E-3</c:v>
                </c:pt>
                <c:pt idx="1">
                  <c:v>5.0000000000000001E-3</c:v>
                </c:pt>
                <c:pt idx="2">
                  <c:v>2.4E-2</c:v>
                </c:pt>
                <c:pt idx="3">
                  <c:v>0.97</c:v>
                </c:pt>
              </c:numCache>
            </c:numRef>
          </c:val>
        </c:ser>
        <c:dLbls>
          <c:dLblPos val="outEnd"/>
          <c:showLegendKey val="0"/>
          <c:showVal val="1"/>
          <c:showCatName val="0"/>
          <c:showSerName val="0"/>
          <c:showPercent val="0"/>
          <c:showBubbleSize val="0"/>
        </c:dLbls>
        <c:gapWidth val="182"/>
        <c:axId val="289837360"/>
        <c:axId val="289837752"/>
      </c:barChart>
      <c:catAx>
        <c:axId val="289837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837752"/>
        <c:crosses val="autoZero"/>
        <c:auto val="1"/>
        <c:lblAlgn val="ctr"/>
        <c:lblOffset val="100"/>
        <c:noMultiLvlLbl val="0"/>
      </c:catAx>
      <c:valAx>
        <c:axId val="289837752"/>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8373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rgbClr val="00ACE9"/>
                </a:solidFill>
                <a:latin typeface="Arial" panose="020B0604020202020204" pitchFamily="34" charset="0"/>
                <a:cs typeface="Arial" panose="020B0604020202020204" pitchFamily="34" charset="0"/>
              </a:rPr>
              <a:t>Participation by banded ethnicity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ACE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Charts!$K$35:$K$39</c:f>
              <c:strCache>
                <c:ptCount val="5"/>
                <c:pt idx="0">
                  <c:v>Asian / Asian British</c:v>
                </c:pt>
                <c:pt idx="1">
                  <c:v>Black / African / Caribbean / Black British</c:v>
                </c:pt>
                <c:pt idx="2">
                  <c:v>Mixed / Multiple ethnic group</c:v>
                </c:pt>
                <c:pt idx="3">
                  <c:v>Other ethnic group</c:v>
                </c:pt>
                <c:pt idx="4">
                  <c:v>White</c:v>
                </c:pt>
              </c:strCache>
            </c:strRef>
          </c:cat>
          <c:val>
            <c:numRef>
              <c:f>Charts!$L$35:$L$39</c:f>
              <c:numCache>
                <c:formatCode>0.0%</c:formatCode>
                <c:ptCount val="5"/>
                <c:pt idx="0">
                  <c:v>0.12</c:v>
                </c:pt>
                <c:pt idx="1">
                  <c:v>2E-3</c:v>
                </c:pt>
                <c:pt idx="2">
                  <c:v>2.1000000000000001E-2</c:v>
                </c:pt>
                <c:pt idx="3">
                  <c:v>3.7999999999999999E-2</c:v>
                </c:pt>
                <c:pt idx="4">
                  <c:v>0.81799999999999995</c:v>
                </c:pt>
              </c:numCache>
            </c:numRef>
          </c:val>
        </c:ser>
        <c:dLbls>
          <c:dLblPos val="outEnd"/>
          <c:showLegendKey val="0"/>
          <c:showVal val="1"/>
          <c:showCatName val="0"/>
          <c:showSerName val="0"/>
          <c:showPercent val="0"/>
          <c:showBubbleSize val="0"/>
        </c:dLbls>
        <c:gapWidth val="219"/>
        <c:overlap val="-27"/>
        <c:axId val="289838928"/>
        <c:axId val="290939872"/>
      </c:barChart>
      <c:catAx>
        <c:axId val="2898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939872"/>
        <c:crosses val="autoZero"/>
        <c:auto val="1"/>
        <c:lblAlgn val="ctr"/>
        <c:lblOffset val="100"/>
        <c:noMultiLvlLbl val="0"/>
      </c:catAx>
      <c:valAx>
        <c:axId val="2909398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838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rgbClr val="00ACE9"/>
                </a:solidFill>
                <a:latin typeface="Arial" panose="020B0604020202020204" pitchFamily="34" charset="0"/>
                <a:cs typeface="Arial" panose="020B0604020202020204" pitchFamily="34" charset="0"/>
              </a:rPr>
              <a:t>Participation by level</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00ACE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Charts1!$A$45:$A$47</c:f>
              <c:strCache>
                <c:ptCount val="3"/>
                <c:pt idx="0">
                  <c:v>Advanced Apprenticeship</c:v>
                </c:pt>
                <c:pt idx="1">
                  <c:v>Higher Apprenticeship</c:v>
                </c:pt>
                <c:pt idx="2">
                  <c:v>Intermediate Apprenticeship</c:v>
                </c:pt>
              </c:strCache>
            </c:strRef>
          </c:cat>
          <c:val>
            <c:numRef>
              <c:f>Charts1!$B$45:$B$47</c:f>
              <c:numCache>
                <c:formatCode>0.0%</c:formatCode>
                <c:ptCount val="3"/>
                <c:pt idx="0">
                  <c:v>0.374</c:v>
                </c:pt>
                <c:pt idx="1">
                  <c:v>3.6999999999999998E-2</c:v>
                </c:pt>
                <c:pt idx="2">
                  <c:v>0.59</c:v>
                </c:pt>
              </c:numCache>
            </c:numRef>
          </c:val>
        </c:ser>
        <c:dLbls>
          <c:showLegendKey val="0"/>
          <c:showVal val="0"/>
          <c:showCatName val="0"/>
          <c:showSerName val="0"/>
          <c:showPercent val="0"/>
          <c:showBubbleSize val="0"/>
        </c:dLbls>
        <c:gapWidth val="182"/>
        <c:axId val="290941440"/>
        <c:axId val="290941832"/>
      </c:barChart>
      <c:catAx>
        <c:axId val="290941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941832"/>
        <c:crosses val="autoZero"/>
        <c:auto val="1"/>
        <c:lblAlgn val="ctr"/>
        <c:lblOffset val="100"/>
        <c:noMultiLvlLbl val="0"/>
      </c:catAx>
      <c:valAx>
        <c:axId val="29094183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941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rgbClr val="00ACE9"/>
                </a:solidFill>
                <a:latin typeface="Arial" panose="020B0604020202020204" pitchFamily="34" charset="0"/>
                <a:cs typeface="Arial" panose="020B0604020202020204" pitchFamily="34" charset="0"/>
              </a:rPr>
              <a:t>Participation by single age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575756"/>
              </a:solidFill>
              <a:ln w="19050">
                <a:solidFill>
                  <a:schemeClr val="lt1"/>
                </a:solidFill>
              </a:ln>
              <a:effectLst/>
            </c:spPr>
          </c:dPt>
          <c:dPt>
            <c:idx val="1"/>
            <c:bubble3D val="0"/>
            <c:spPr>
              <a:solidFill>
                <a:srgbClr val="9D9D9C"/>
              </a:solidFill>
              <a:ln w="19050">
                <a:solidFill>
                  <a:schemeClr val="lt1"/>
                </a:solidFill>
              </a:ln>
              <a:effectLst/>
            </c:spPr>
          </c:dPt>
          <c:dPt>
            <c:idx val="2"/>
            <c:bubble3D val="0"/>
            <c:spPr>
              <a:solidFill>
                <a:srgbClr val="00ACE9"/>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Charts1!$K$45:$K$47</c:f>
              <c:strCache>
                <c:ptCount val="3"/>
                <c:pt idx="0">
                  <c:v>16 yrs old</c:v>
                </c:pt>
                <c:pt idx="1">
                  <c:v>17 yrs old</c:v>
                </c:pt>
                <c:pt idx="2">
                  <c:v>18 yrs old</c:v>
                </c:pt>
              </c:strCache>
            </c:strRef>
          </c:cat>
          <c:val>
            <c:numRef>
              <c:f>Charts1!$L$45:$L$47</c:f>
              <c:numCache>
                <c:formatCode>0.0%</c:formatCode>
                <c:ptCount val="3"/>
                <c:pt idx="0">
                  <c:v>0.30299999999999999</c:v>
                </c:pt>
                <c:pt idx="1">
                  <c:v>0.28899999999999998</c:v>
                </c:pt>
                <c:pt idx="2">
                  <c:v>0.40799999999999997</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rgbClr val="00ACE9"/>
                </a:solidFill>
                <a:latin typeface="Arial" panose="020B0604020202020204" pitchFamily="34" charset="0"/>
                <a:cs typeface="Arial" panose="020B0604020202020204" pitchFamily="34" charset="0"/>
              </a:rPr>
              <a:t>Participation by banded ethnicity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ACE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Charts1!$T$45:$T$50</c:f>
              <c:strCache>
                <c:ptCount val="6"/>
                <c:pt idx="0">
                  <c:v>Asian / Asian British</c:v>
                </c:pt>
                <c:pt idx="1">
                  <c:v>Black / African / Caribbean / Black British</c:v>
                </c:pt>
                <c:pt idx="2">
                  <c:v>Mixed / Multiple Ethnic Group</c:v>
                </c:pt>
                <c:pt idx="3">
                  <c:v>Not App / Known</c:v>
                </c:pt>
                <c:pt idx="4">
                  <c:v>Other Ethnic Group</c:v>
                </c:pt>
                <c:pt idx="5">
                  <c:v>White</c:v>
                </c:pt>
              </c:strCache>
            </c:strRef>
          </c:cat>
          <c:val>
            <c:numRef>
              <c:f>Charts1!$U$45:$U$50</c:f>
              <c:numCache>
                <c:formatCode>0.0%</c:formatCode>
                <c:ptCount val="6"/>
                <c:pt idx="0">
                  <c:v>0.02</c:v>
                </c:pt>
                <c:pt idx="1">
                  <c:v>1E-3</c:v>
                </c:pt>
                <c:pt idx="2">
                  <c:v>1.2E-2</c:v>
                </c:pt>
                <c:pt idx="3">
                  <c:v>1.0999999999999999E-2</c:v>
                </c:pt>
                <c:pt idx="4">
                  <c:v>1E-3</c:v>
                </c:pt>
                <c:pt idx="5">
                  <c:v>0.95499999999999996</c:v>
                </c:pt>
              </c:numCache>
            </c:numRef>
          </c:val>
        </c:ser>
        <c:dLbls>
          <c:dLblPos val="outEnd"/>
          <c:showLegendKey val="0"/>
          <c:showVal val="1"/>
          <c:showCatName val="0"/>
          <c:showSerName val="0"/>
          <c:showPercent val="0"/>
          <c:showBubbleSize val="0"/>
        </c:dLbls>
        <c:gapWidth val="219"/>
        <c:overlap val="-27"/>
        <c:axId val="289838536"/>
        <c:axId val="290943008"/>
      </c:barChart>
      <c:catAx>
        <c:axId val="289838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943008"/>
        <c:crosses val="autoZero"/>
        <c:auto val="1"/>
        <c:lblAlgn val="ctr"/>
        <c:lblOffset val="100"/>
        <c:noMultiLvlLbl val="0"/>
      </c:catAx>
      <c:valAx>
        <c:axId val="2909430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9838536"/>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AF2F-F45B-44A5-A264-C610453F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5120</Words>
  <Characters>29188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Hirst, Sarah (CYP)</dc:creator>
  <cp:keywords/>
  <dc:description/>
  <cp:lastModifiedBy>Hirst, Sarah (CYP)</cp:lastModifiedBy>
  <cp:revision>2</cp:revision>
  <cp:lastPrinted>2019-04-12T08:27:00Z</cp:lastPrinted>
  <dcterms:created xsi:type="dcterms:W3CDTF">2019-06-12T07:57:00Z</dcterms:created>
  <dcterms:modified xsi:type="dcterms:W3CDTF">2019-06-12T07:57:00Z</dcterms:modified>
</cp:coreProperties>
</file>